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552" w:type="dxa"/>
        <w:tblInd w:w="-497"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552"/>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4768" w:hRule="exact"/>
        </w:trPr>
        <w:tc>
          <w:tcPr>
            <w:tcW w:w="9552" w:type="dxa"/>
          </w:tcPr>
          <w:p>
            <w:pPr>
              <w:pStyle w:val="16"/>
              <w:snapToGrid w:val="0"/>
              <w:spacing w:line="340" w:lineRule="exact"/>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bookmarkStart w:id="0" w:name="_GoBack"/>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 xml:space="preserve">生态环境主管部门审批：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隆环评[2024]10号</w:t>
            </w:r>
          </w:p>
          <w:p>
            <w:pPr>
              <w:numPr>
                <w:ilvl w:val="0"/>
                <w:numId w:val="0"/>
              </w:numPr>
              <w:ind w:left="0" w:leftChars="0"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隆化县光晟日辉光伏发电有限公司拟投资</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50000</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万元在承德市隆化县步古沟镇、西阿超乡、山湾乡建设隆化县</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200MW</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源网荷储一体化示范项目（光伏部分）。项目总占地</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2666667</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平方米，其中光伏厂区占地面积</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2391636</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平方米，升压站占地面积</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20304</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平方米。本项目主要建设内容包括:光伏项目装机容量为100兆瓦，整个光伏电站由30个3.3MW和1个1.0MW发电单元组成，电池组件采用330Wp的单晶硅双面组件。</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新建升压站一座(包括一次舱、二次舱、SVG、主变、综合楼、消防水泵房及辅助用房及危废暂存间)</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，新建集电线路、道路及相关配套设施等。项目</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建成后，</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预计运行时间为</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25</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年，</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25</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年总发电量为</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410261.49</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万</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kWh</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。本次环评范围不包括电磁辐射内容。</w:t>
            </w:r>
          </w:p>
          <w:p>
            <w:pPr>
              <w:numPr>
                <w:ilvl w:val="0"/>
                <w:numId w:val="0"/>
              </w:numPr>
              <w:ind w:left="0" w:leftChars="0"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一、经审查，项目建设取得了隆化县行政审批局出具的企业投资项目备案信息（备案编号：隆审批投资备[2022]64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pPr>
              <w:numPr>
                <w:ilvl w:val="0"/>
                <w:numId w:val="0"/>
              </w:num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（一）加强环境管理及监测。</w:t>
            </w:r>
          </w:p>
          <w:p>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该项目在建设和运营过程中必须严格遵守环保法律法规，建立健全企业内部环境管理机制，制定完善的环保规章制度，制定切实可行的突发环境事件应急预案，严格落实预案中相关要求并定期进行应急演练，加强日常运行及维护管理，确保各类污染物稳定达标排放、</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环境风险得到有效管控。</w:t>
            </w:r>
          </w:p>
          <w:p>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（二）落实各项污染防治措施。</w:t>
            </w:r>
          </w:p>
          <w:p>
            <w:pPr>
              <w:ind w:firstLine="420" w:firstLineChars="200"/>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1.施工场地设简易沉淀池，将施工废水收集沉淀后循环使用，职工盥洗废水，用于场地泼洒抑尘，配备移动厕所，定期清掏，定期集中清运。</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运营期太阳能板清洗废水用于场地绿化</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，生活污水经化粪池处理后经地埋式一体化污水处理设备处理达标后储存于中水池中，复用于站区道路浇洒及绿化，不外排。一体化污水处理设施出水水质执行《城市污水再生利用</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城市杂用水水质》（</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GB/T18920-2020</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）中的水质标准。严格落实分区防治措施，做好</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事故油池、危废间及污水处理设施</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等处工程防腐、防渗处理，防止对地下水、土壤造成污染。</w:t>
            </w:r>
          </w:p>
          <w:p>
            <w:pPr>
              <w:ind w:firstLine="420" w:firstLineChars="200"/>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项目施工期严格执行《河北省扬尘污染防治办法》减少施工扬尘对空气环境的影响；通过采取限制超载、限制超速、安装尾气净化器等措施，降低运输车辆及施工机械尾气对周围环境敏感点的影响。施工场地扬尘排放执行《施工场地扬尘排放标准》（DB13/2934-2019）表1扬尘排放浓度限值。项目运营期</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光伏发电</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在转换过程中没有废气的排放；污水处理站采取地埋式，各池体加盖，并定期投放除臭剂，污水处理站恶臭气体经处理后满足《恶臭污染物排放标准》（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GB14554-93</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）表</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1</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恶臭污染物厂界标准。</w:t>
            </w:r>
          </w:p>
          <w:p>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3.严格落实施工场地各项环境管理要求，施工区外部采用围档，严格控制施工范围、时间，施工噪声排放执行《建筑施工场界环境噪声排放标准》（GB12523-2011）中相应标准限值；</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运营期升压站产选用低噪声设备，通过合理布置，</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经衰减后，保证其厂界能够满足《工业企业厂界环境噪声排放标准》（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GB12348-2008</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）的</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1</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类功能区环境噪声排放限值。</w:t>
            </w:r>
          </w:p>
          <w:p>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4.</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施工现场的施工垃圾和生活垃圾，</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分类</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集中存放，及时清运</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开挖土石方用于回填和场地平整；损坏的材料或组件应当返还厂家进行处理或再利用，不得随意丢弃。运营期废变压器油和废油桶集中收集后暂存于事故油池、危废间内，委托有资质的单位定期转运及处置；废光伏组件收集后由厂家回收处理；生活垃圾集中收集后由环卫部门处理。一般废物执行《一般工业固体废弃物贮存和填埋污染控制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GB18599-2020</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）的相关要求；危险废物执行《危险废物贮存污染控制标准》（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GB18597-2023</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）中的有关规定和要求。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5、项目建设严格控制施工占地，减少植被破坏面积，落实水土保持措施；工程结束后，对生态破坏区域进行生态恢复，恢复到土地原有功能水平。项目应采取相应举措，避开光污染影响。</w:t>
            </w:r>
          </w:p>
          <w:p>
            <w:pPr>
              <w:pStyle w:val="16"/>
              <w:spacing w:line="320" w:lineRule="exact"/>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二、项目建设必须严格执行环保“三同时制度”。建成后，按规定程序实施竣工环境保护验收。</w:t>
            </w:r>
          </w:p>
          <w:p>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bookmarkEnd w:id="0"/>
          <w:p>
            <w:pPr>
              <w:pStyle w:val="7"/>
              <w:spacing w:line="320" w:lineRule="exact"/>
              <w:ind w:left="0" w:firstLine="630" w:firstLineChars="3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经办人：                                                             2024年6月12日</w:t>
            </w:r>
          </w:p>
        </w:tc>
      </w:tr>
    </w:tbl>
    <w:p/>
    <w:sectPr>
      <w:pgSz w:w="11906" w:h="16838"/>
      <w:pgMar w:top="1100"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5F805"/>
    <w:multiLevelType w:val="singleLevel"/>
    <w:tmpl w:val="8FA5F805"/>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OWNmNDIxZTdmZWFkMTcxNmFmZWNkOTc4MWQ4ODI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132175E"/>
    <w:rsid w:val="03C35590"/>
    <w:rsid w:val="05257DE5"/>
    <w:rsid w:val="05D71850"/>
    <w:rsid w:val="0639036B"/>
    <w:rsid w:val="06892EF6"/>
    <w:rsid w:val="069B3270"/>
    <w:rsid w:val="07193F5C"/>
    <w:rsid w:val="07994D80"/>
    <w:rsid w:val="086C07C3"/>
    <w:rsid w:val="0901547B"/>
    <w:rsid w:val="0AEA73F2"/>
    <w:rsid w:val="0B742FCD"/>
    <w:rsid w:val="0BB357F1"/>
    <w:rsid w:val="0C7056C4"/>
    <w:rsid w:val="0CA81621"/>
    <w:rsid w:val="0EA520AE"/>
    <w:rsid w:val="0F2637C4"/>
    <w:rsid w:val="0FB479CE"/>
    <w:rsid w:val="0FE72AF2"/>
    <w:rsid w:val="108C1436"/>
    <w:rsid w:val="10AA645D"/>
    <w:rsid w:val="10BB099D"/>
    <w:rsid w:val="10E220C6"/>
    <w:rsid w:val="11D905EA"/>
    <w:rsid w:val="125123AD"/>
    <w:rsid w:val="12AC1C4D"/>
    <w:rsid w:val="12EA0B44"/>
    <w:rsid w:val="17805F80"/>
    <w:rsid w:val="185C6797"/>
    <w:rsid w:val="188477FD"/>
    <w:rsid w:val="1A820940"/>
    <w:rsid w:val="1B0272A5"/>
    <w:rsid w:val="1BEE01D9"/>
    <w:rsid w:val="1DD9198E"/>
    <w:rsid w:val="1DF00D78"/>
    <w:rsid w:val="1E05244B"/>
    <w:rsid w:val="1F983897"/>
    <w:rsid w:val="2141497F"/>
    <w:rsid w:val="247B1229"/>
    <w:rsid w:val="24F030CE"/>
    <w:rsid w:val="253D5533"/>
    <w:rsid w:val="258874A7"/>
    <w:rsid w:val="259B3EDE"/>
    <w:rsid w:val="25F0248B"/>
    <w:rsid w:val="27463420"/>
    <w:rsid w:val="2A5D28F9"/>
    <w:rsid w:val="2B593913"/>
    <w:rsid w:val="2C9F31F0"/>
    <w:rsid w:val="2D1F1933"/>
    <w:rsid w:val="2D9E3F51"/>
    <w:rsid w:val="2DC51C24"/>
    <w:rsid w:val="2FA90493"/>
    <w:rsid w:val="30D527BA"/>
    <w:rsid w:val="3144591C"/>
    <w:rsid w:val="33EE3805"/>
    <w:rsid w:val="36430044"/>
    <w:rsid w:val="369A2F9E"/>
    <w:rsid w:val="36EF006E"/>
    <w:rsid w:val="37213D29"/>
    <w:rsid w:val="37F415BD"/>
    <w:rsid w:val="380A60B3"/>
    <w:rsid w:val="387D4274"/>
    <w:rsid w:val="391F541C"/>
    <w:rsid w:val="39202DB5"/>
    <w:rsid w:val="39A743DF"/>
    <w:rsid w:val="39EB71B9"/>
    <w:rsid w:val="39F71049"/>
    <w:rsid w:val="3A77227A"/>
    <w:rsid w:val="3AA86B61"/>
    <w:rsid w:val="3B9603ED"/>
    <w:rsid w:val="3C7D2CD7"/>
    <w:rsid w:val="3CAD68CF"/>
    <w:rsid w:val="3CE34EAB"/>
    <w:rsid w:val="3DE37661"/>
    <w:rsid w:val="3DFC1E32"/>
    <w:rsid w:val="3DFC3CBF"/>
    <w:rsid w:val="3E057984"/>
    <w:rsid w:val="3E0F14D8"/>
    <w:rsid w:val="3E900D92"/>
    <w:rsid w:val="42E254BC"/>
    <w:rsid w:val="432917FA"/>
    <w:rsid w:val="44B22B0D"/>
    <w:rsid w:val="472E6E4E"/>
    <w:rsid w:val="477311C9"/>
    <w:rsid w:val="47D87F8A"/>
    <w:rsid w:val="48D54C71"/>
    <w:rsid w:val="4A1726EE"/>
    <w:rsid w:val="4A303725"/>
    <w:rsid w:val="4A741418"/>
    <w:rsid w:val="4AA15CBD"/>
    <w:rsid w:val="4D29719E"/>
    <w:rsid w:val="4E291E48"/>
    <w:rsid w:val="4ED65758"/>
    <w:rsid w:val="4F420A8F"/>
    <w:rsid w:val="5077686C"/>
    <w:rsid w:val="50C65266"/>
    <w:rsid w:val="51641A0B"/>
    <w:rsid w:val="51A07C6F"/>
    <w:rsid w:val="51BB4A27"/>
    <w:rsid w:val="537A1E73"/>
    <w:rsid w:val="54F61A33"/>
    <w:rsid w:val="556666D5"/>
    <w:rsid w:val="56100BFC"/>
    <w:rsid w:val="564D059A"/>
    <w:rsid w:val="566A39AB"/>
    <w:rsid w:val="5A582A2E"/>
    <w:rsid w:val="5A983C4B"/>
    <w:rsid w:val="60A46881"/>
    <w:rsid w:val="60B96269"/>
    <w:rsid w:val="62AD2413"/>
    <w:rsid w:val="632016EF"/>
    <w:rsid w:val="63497F31"/>
    <w:rsid w:val="63986AC6"/>
    <w:rsid w:val="646033C8"/>
    <w:rsid w:val="64B03AA8"/>
    <w:rsid w:val="64DA405D"/>
    <w:rsid w:val="65C3030C"/>
    <w:rsid w:val="65C847F7"/>
    <w:rsid w:val="66871216"/>
    <w:rsid w:val="682C72B2"/>
    <w:rsid w:val="68541F7E"/>
    <w:rsid w:val="6A477165"/>
    <w:rsid w:val="6C4106CC"/>
    <w:rsid w:val="6C773F36"/>
    <w:rsid w:val="6D8967FD"/>
    <w:rsid w:val="6DF254D4"/>
    <w:rsid w:val="6F314481"/>
    <w:rsid w:val="7187244B"/>
    <w:rsid w:val="71B44793"/>
    <w:rsid w:val="71F306CE"/>
    <w:rsid w:val="72405D25"/>
    <w:rsid w:val="734D1831"/>
    <w:rsid w:val="741C4084"/>
    <w:rsid w:val="748120A5"/>
    <w:rsid w:val="74EE3E0E"/>
    <w:rsid w:val="75276451"/>
    <w:rsid w:val="764B55B9"/>
    <w:rsid w:val="76D8421F"/>
    <w:rsid w:val="785C4770"/>
    <w:rsid w:val="79077C59"/>
    <w:rsid w:val="7A3D2CC4"/>
    <w:rsid w:val="7A4A6602"/>
    <w:rsid w:val="7A7061D9"/>
    <w:rsid w:val="7A735214"/>
    <w:rsid w:val="7ADB627B"/>
    <w:rsid w:val="7B464ABD"/>
    <w:rsid w:val="7BEC14D9"/>
    <w:rsid w:val="7C470D04"/>
    <w:rsid w:val="7DD03374"/>
    <w:rsid w:val="7F0B0898"/>
    <w:rsid w:val="7F355C97"/>
    <w:rsid w:val="7F6B273E"/>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next w:val="4"/>
    <w:qFormat/>
    <w:uiPriority w:val="0"/>
    <w:rPr>
      <w:sz w:val="18"/>
    </w:rPr>
  </w:style>
  <w:style w:type="paragraph" w:styleId="4">
    <w:name w:val="List Bullet 5"/>
    <w:basedOn w:val="1"/>
    <w:autoRedefine/>
    <w:semiHidden/>
    <w:unhideWhenUsed/>
    <w:qFormat/>
    <w:uiPriority w:val="99"/>
    <w:pPr>
      <w:numPr>
        <w:ilvl w:val="0"/>
        <w:numId w:val="1"/>
      </w:numPr>
    </w:pPr>
  </w:style>
  <w:style w:type="paragraph" w:styleId="5">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2"/>
    <w:basedOn w:val="1"/>
    <w:next w:val="1"/>
    <w:autoRedefine/>
    <w:qFormat/>
    <w:uiPriority w:val="0"/>
    <w:pPr>
      <w:ind w:left="240"/>
    </w:pPr>
    <w:rPr>
      <w:rFonts w:ascii="Calibri" w:hAnsi="Calibri"/>
      <w:smallCaps/>
      <w:sz w:val="20"/>
    </w:rPr>
  </w:style>
  <w:style w:type="character" w:styleId="10">
    <w:name w:val="Strong"/>
    <w:basedOn w:val="9"/>
    <w:autoRedefine/>
    <w:qFormat/>
    <w:uiPriority w:val="0"/>
    <w:rPr>
      <w:b/>
    </w:rPr>
  </w:style>
  <w:style w:type="paragraph" w:customStyle="1" w:styleId="11">
    <w:name w:val="样式 样式 样式 四号 左侧:  1.53 厘米 + 首行缩进:  2 字符 + 居中 左侧:  2 字符 首行缩进:  2..."/>
    <w:basedOn w:val="12"/>
    <w:autoRedefine/>
    <w:qFormat/>
    <w:uiPriority w:val="0"/>
    <w:pPr>
      <w:adjustRightInd w:val="0"/>
      <w:ind w:left="200" w:leftChars="200"/>
      <w:jc w:val="center"/>
    </w:pPr>
    <w:rPr>
      <w:w w:val="90"/>
      <w:sz w:val="28"/>
      <w:szCs w:val="20"/>
    </w:rPr>
  </w:style>
  <w:style w:type="paragraph" w:customStyle="1" w:styleId="12">
    <w:name w:val="样式 样式 四号 左侧:  1.53 厘米 + 首行缩进:  2 字符"/>
    <w:basedOn w:val="13"/>
    <w:autoRedefine/>
    <w:qFormat/>
    <w:uiPriority w:val="0"/>
    <w:pPr>
      <w:ind w:left="200" w:leftChars="200"/>
    </w:pPr>
    <w:rPr>
      <w:szCs w:val="20"/>
    </w:rPr>
  </w:style>
  <w:style w:type="paragraph" w:customStyle="1" w:styleId="13">
    <w:name w:val="样式 四号 左侧:  1.53 厘米"/>
    <w:basedOn w:val="1"/>
    <w:autoRedefine/>
    <w:qFormat/>
    <w:uiPriority w:val="0"/>
    <w:pPr>
      <w:adjustRightInd w:val="0"/>
    </w:pPr>
    <w:rPr>
      <w:w w:val="90"/>
      <w:sz w:val="28"/>
      <w:szCs w:val="28"/>
    </w:rPr>
  </w:style>
  <w:style w:type="character" w:customStyle="1" w:styleId="14">
    <w:name w:val="页眉 Char"/>
    <w:basedOn w:val="9"/>
    <w:link w:val="6"/>
    <w:autoRedefine/>
    <w:semiHidden/>
    <w:qFormat/>
    <w:uiPriority w:val="99"/>
    <w:rPr>
      <w:sz w:val="18"/>
      <w:szCs w:val="18"/>
    </w:rPr>
  </w:style>
  <w:style w:type="character" w:customStyle="1" w:styleId="15">
    <w:name w:val="页脚 Char"/>
    <w:basedOn w:val="9"/>
    <w:link w:val="5"/>
    <w:autoRedefine/>
    <w:semiHidden/>
    <w:qFormat/>
    <w:uiPriority w:val="99"/>
    <w:rPr>
      <w:sz w:val="18"/>
      <w:szCs w:val="18"/>
    </w:rPr>
  </w:style>
  <w:style w:type="paragraph" w:customStyle="1" w:styleId="16">
    <w:name w:val="p0"/>
    <w:basedOn w:val="1"/>
    <w:autoRedefine/>
    <w:qFormat/>
    <w:uiPriority w:val="0"/>
    <w:pPr>
      <w:widowControl/>
    </w:pPr>
    <w:rPr>
      <w:kern w:val="0"/>
      <w:szCs w:val="21"/>
    </w:rPr>
  </w:style>
  <w:style w:type="paragraph" w:customStyle="1" w:styleId="17">
    <w:name w:val="样式 正文文本 + 首行缩进:  2 字符"/>
    <w:basedOn w:val="3"/>
    <w:autoRedefine/>
    <w:qFormat/>
    <w:uiPriority w:val="99"/>
    <w:pPr>
      <w:spacing w:after="200" w:line="480" w:lineRule="exact"/>
      <w:ind w:firstLine="480" w:firstLineChars="200"/>
    </w:pPr>
    <w:rPr>
      <w:rFonts w:ascii="宋体" w:hAnsi="宋体"/>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1588</Words>
  <Characters>1761</Characters>
  <Lines>9</Lines>
  <Paragraphs>2</Paragraphs>
  <TotalTime>3</TotalTime>
  <ScaleCrop>false</ScaleCrop>
  <LinksUpToDate>false</LinksUpToDate>
  <CharactersWithSpaces>1941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微笑</cp:lastModifiedBy>
  <cp:lastPrinted>2021-07-26T01:31:00Z</cp:lastPrinted>
  <dcterms:modified xsi:type="dcterms:W3CDTF">2024-06-13T01:00:05Z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CCCA836007E94D98BD33A617DAAEBA0C_13</vt:lpwstr>
  </property>
</Properties>
</file>