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jc w:val="center"/>
        <w:rPr>
          <w:rFonts w:ascii="华文中宋" w:hAnsi="华文中宋" w:eastAsia="华文中宋"/>
          <w:b/>
          <w:sz w:val="44"/>
          <w:szCs w:val="44"/>
        </w:rPr>
      </w:pPr>
      <w:r>
        <w:rPr>
          <w:rFonts w:hint="eastAsia" w:ascii="华文中宋" w:hAnsi="华文中宋" w:eastAsia="华文中宋"/>
          <w:b/>
          <w:sz w:val="44"/>
          <w:szCs w:val="44"/>
        </w:rPr>
        <w:t>20</w:t>
      </w:r>
      <w:r>
        <w:rPr>
          <w:rFonts w:ascii="华文中宋" w:hAnsi="华文中宋" w:eastAsia="华文中宋"/>
          <w:b/>
          <w:sz w:val="44"/>
          <w:szCs w:val="44"/>
        </w:rPr>
        <w:t>2</w:t>
      </w:r>
      <w:r>
        <w:rPr>
          <w:rFonts w:hint="eastAsia" w:ascii="华文中宋" w:hAnsi="华文中宋" w:eastAsia="华文中宋"/>
          <w:b/>
          <w:sz w:val="44"/>
          <w:szCs w:val="44"/>
          <w:lang w:val="en-US" w:eastAsia="zh-CN"/>
        </w:rPr>
        <w:t>4</w:t>
      </w:r>
      <w:r>
        <w:rPr>
          <w:rFonts w:hint="eastAsia" w:ascii="华文中宋" w:hAnsi="华文中宋" w:eastAsia="华文中宋"/>
          <w:b/>
          <w:sz w:val="44"/>
          <w:szCs w:val="44"/>
        </w:rPr>
        <w:t>年度重点工作</w:t>
      </w:r>
    </w:p>
    <w:p>
      <w:pPr>
        <w:adjustRightInd w:val="0"/>
        <w:snapToGrid w:val="0"/>
        <w:spacing w:line="300" w:lineRule="auto"/>
        <w:rPr>
          <w:rFonts w:ascii="仿宋_GB2312" w:hAnsi="华文中宋" w:eastAsia="仿宋_GB2312"/>
          <w:b/>
          <w:sz w:val="32"/>
          <w:szCs w:val="32"/>
        </w:rPr>
      </w:pPr>
    </w:p>
    <w:p>
      <w:pPr>
        <w:spacing w:line="560" w:lineRule="exact"/>
        <w:ind w:firstLine="640" w:firstLineChars="200"/>
        <w:rPr>
          <w:rFonts w:hint="eastAsia" w:eastAsia="仿宋_GB2312" w:cs="仿宋_GB2312"/>
          <w:sz w:val="32"/>
          <w:szCs w:val="32"/>
          <w:lang w:eastAsia="zh-CN"/>
        </w:rPr>
      </w:pPr>
      <w:r>
        <w:rPr>
          <w:rFonts w:hint="eastAsia" w:ascii="仿宋_GB2312" w:hAnsi="仿宋_GB2312" w:eastAsia="仿宋_GB2312" w:cs="仿宋_GB2312"/>
          <w:color w:val="000000"/>
          <w:sz w:val="32"/>
          <w:szCs w:val="32"/>
        </w:rPr>
        <w:t>当前经济形势依然较为复杂，但也迎来“省委、省政府在抽水蓄能、温泉开发方面重点支持”</w:t>
      </w:r>
      <w:r>
        <w:rPr>
          <w:rFonts w:hint="eastAsia" w:ascii="仿宋_GB2312" w:hAnsi="仿宋_GB2312" w:eastAsia="仿宋_GB2312" w:cs="仿宋_GB2312"/>
          <w:color w:val="000000"/>
          <w:kern w:val="0"/>
          <w:sz w:val="32"/>
          <w:szCs w:val="32"/>
        </w:rPr>
        <w:t>等</w:t>
      </w:r>
      <w:r>
        <w:rPr>
          <w:rFonts w:hint="eastAsia" w:ascii="仿宋_GB2312" w:hAnsi="仿宋_GB2312" w:eastAsia="仿宋_GB2312" w:cs="仿宋_GB2312"/>
          <w:color w:val="000000"/>
          <w:sz w:val="32"/>
          <w:szCs w:val="32"/>
        </w:rPr>
        <w:t>千载难逢的利好信息，全县财政工作挑战中蕴含着机遇。</w:t>
      </w:r>
      <w:r>
        <w:rPr>
          <w:rFonts w:hint="eastAsia" w:ascii="仿宋_GB2312" w:hAnsi="仿宋_GB2312" w:eastAsia="仿宋_GB2312" w:cs="仿宋_GB2312"/>
          <w:color w:val="000000"/>
          <w:kern w:val="0"/>
          <w:sz w:val="32"/>
          <w:szCs w:val="32"/>
        </w:rPr>
        <w:t>2024年</w:t>
      </w:r>
      <w:r>
        <w:rPr>
          <w:rFonts w:hint="eastAsia" w:ascii="仿宋_GB2312" w:hAnsi="Verdana" w:eastAsia="仿宋_GB2312" w:cs="宋体"/>
          <w:kern w:val="0"/>
          <w:sz w:val="32"/>
          <w:szCs w:val="32"/>
        </w:rPr>
        <w:t>我们将继续紧紧围绕</w:t>
      </w:r>
      <w:r>
        <w:rPr>
          <w:rFonts w:hint="eastAsia" w:ascii="仿宋_GB2312" w:hAnsi="Verdana" w:eastAsia="仿宋_GB2312" w:cs="宋体"/>
          <w:kern w:val="0"/>
          <w:sz w:val="32"/>
          <w:szCs w:val="32"/>
          <w:lang w:val="en-US" w:eastAsia="zh-CN"/>
        </w:rPr>
        <w:t>全县</w:t>
      </w:r>
      <w:r>
        <w:rPr>
          <w:rFonts w:hint="eastAsia" w:ascii="仿宋_GB2312" w:hAnsi="Verdana" w:eastAsia="仿宋_GB2312" w:cs="宋体"/>
          <w:kern w:val="0"/>
          <w:sz w:val="32"/>
          <w:szCs w:val="32"/>
        </w:rPr>
        <w:t>总体安排和部署，坚持党的全面领导，以人民为中心兜牢基本民生底线，强化责任担当、迎难而上，以财政之进更好服务于县域经济社会发展大局。全年重点做好以下几方面工作</w:t>
      </w:r>
      <w:r>
        <w:rPr>
          <w:rFonts w:hint="eastAsia" w:ascii="仿宋_GB2312" w:hAnsi="Verdana" w:eastAsia="仿宋_GB2312" w:cs="宋体"/>
          <w:kern w:val="0"/>
          <w:sz w:val="32"/>
          <w:szCs w:val="32"/>
          <w:lang w:eastAsia="zh-CN"/>
        </w:rPr>
        <w:t>：</w:t>
      </w:r>
    </w:p>
    <w:p>
      <w:pPr>
        <w:spacing w:line="560" w:lineRule="exact"/>
        <w:ind w:firstLine="643" w:firstLineChars="200"/>
        <w:rPr>
          <w:rFonts w:hint="eastAsia" w:ascii="仿宋_GB2312" w:hAnsi="仿宋_GB2312" w:eastAsia="仿宋_GB2312" w:cs="仿宋_GB2312"/>
          <w:color w:val="000000"/>
          <w:sz w:val="32"/>
          <w:szCs w:val="32"/>
        </w:rPr>
      </w:pPr>
      <w:r>
        <w:rPr>
          <w:rFonts w:hint="eastAsia" w:ascii="楷体_GB2312" w:hAnsi="楷体_GB2312" w:eastAsia="楷体_GB2312" w:cs="楷体_GB2312"/>
          <w:b/>
          <w:color w:val="000000"/>
          <w:kern w:val="0"/>
          <w:sz w:val="32"/>
          <w:szCs w:val="32"/>
        </w:rPr>
        <w:t>（一）一以贯之抓好收入，增财源。</w:t>
      </w:r>
      <w:r>
        <w:rPr>
          <w:rFonts w:hint="eastAsia" w:ascii="仿宋_GB2312" w:hAnsi="仿宋_GB2312" w:eastAsia="仿宋_GB2312" w:cs="仿宋_GB2312"/>
          <w:bCs/>
          <w:sz w:val="32"/>
          <w:szCs w:val="32"/>
        </w:rPr>
        <w:t>以更高的标准狠抓组织收入，在确保完成全年预期目标的基础上，努力提高税收占比。</w:t>
      </w:r>
      <w:r>
        <w:rPr>
          <w:rFonts w:hint="eastAsia" w:ascii="仿宋_GB2312" w:hAnsi="仿宋_GB2312" w:eastAsia="仿宋_GB2312" w:cs="仿宋_GB2312"/>
          <w:b/>
          <w:sz w:val="32"/>
          <w:szCs w:val="32"/>
        </w:rPr>
        <w:t>一是</w:t>
      </w:r>
      <w:r>
        <w:rPr>
          <w:rFonts w:hint="eastAsia" w:ascii="仿宋_GB2312" w:hAnsi="仿宋_GB2312" w:eastAsia="仿宋_GB2312" w:cs="仿宋_GB2312"/>
          <w:sz w:val="32"/>
          <w:szCs w:val="32"/>
        </w:rPr>
        <w:t>坚定不移抓创新、强产业，确保“抽水蓄能、风光电合作、磷钛循环”等一系列为隆化长远利益发展的大项目顺利实施，广辟财源。</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支持引导工矿企业加大技改力度，铁精粉产量力争在2023年的基础上实现较大幅度增长，全力促增收。</w:t>
      </w:r>
      <w:r>
        <w:rPr>
          <w:rFonts w:hint="eastAsia" w:ascii="仿宋_GB2312" w:hAnsi="仿宋_GB2312" w:eastAsia="仿宋_GB2312" w:cs="仿宋_GB2312"/>
          <w:b/>
          <w:bCs/>
          <w:sz w:val="32"/>
          <w:szCs w:val="32"/>
        </w:rPr>
        <w:t>三是</w:t>
      </w:r>
      <w:r>
        <w:rPr>
          <w:rFonts w:hint="eastAsia" w:ascii="仿宋_GB2312" w:hAnsi="仿宋_GB2312" w:eastAsia="仿宋_GB2312" w:cs="仿宋_GB2312"/>
          <w:color w:val="000000"/>
          <w:sz w:val="32"/>
          <w:szCs w:val="32"/>
        </w:rPr>
        <w:t>依托隆化综合治税智能管税平台，继续开展“加油站清收、环保税清查”等一系列县域纳税辅导工作，做到依法征收、应收尽收。</w:t>
      </w:r>
      <w:r>
        <w:rPr>
          <w:rFonts w:hint="eastAsia" w:ascii="仿宋_GB2312" w:hAnsi="仿宋_GB2312" w:eastAsia="仿宋_GB2312" w:cs="仿宋_GB2312"/>
          <w:b/>
          <w:color w:val="000000"/>
          <w:sz w:val="32"/>
          <w:szCs w:val="32"/>
        </w:rPr>
        <w:t>四是</w:t>
      </w:r>
      <w:r>
        <w:rPr>
          <w:rFonts w:hint="eastAsia" w:ascii="仿宋_GB2312" w:hAnsi="仿宋_GB2312" w:eastAsia="仿宋_GB2312" w:cs="仿宋_GB2312"/>
          <w:color w:val="000000"/>
          <w:sz w:val="32"/>
          <w:szCs w:val="32"/>
        </w:rPr>
        <w:t>加快项目代建制，严控税源外流，逐步壮大</w:t>
      </w:r>
      <w:r>
        <w:rPr>
          <w:rFonts w:hint="eastAsia" w:ascii="仿宋_GB2312" w:hAnsi="仿宋_GB2312" w:eastAsia="仿宋_GB2312" w:cs="仿宋_GB2312"/>
          <w:color w:val="000000"/>
          <w:kern w:val="0"/>
          <w:sz w:val="32"/>
          <w:szCs w:val="32"/>
        </w:rPr>
        <w:t>国控公司规模，实现利润最大化和纳税本地化。</w:t>
      </w:r>
      <w:r>
        <w:rPr>
          <w:rFonts w:hint="eastAsia" w:ascii="仿宋_GB2312" w:hAnsi="仿宋_GB2312" w:eastAsia="仿宋_GB2312" w:cs="仿宋_GB2312"/>
          <w:b/>
          <w:sz w:val="32"/>
          <w:szCs w:val="32"/>
        </w:rPr>
        <w:t>五是</w:t>
      </w:r>
      <w:r>
        <w:rPr>
          <w:rFonts w:hint="eastAsia" w:ascii="仿宋_GB2312" w:hAnsi="仿宋_GB2312" w:eastAsia="仿宋_GB2312" w:cs="仿宋_GB2312"/>
          <w:color w:val="000000"/>
          <w:kern w:val="0"/>
          <w:sz w:val="32"/>
          <w:szCs w:val="32"/>
        </w:rPr>
        <w:t>树立全县、全员招商引企增收意识，充分调动挖潜税源积极性，为县域经济发展培植更多的、优质的、可持续的财源。</w:t>
      </w:r>
      <w:r>
        <w:rPr>
          <w:rFonts w:hint="eastAsia" w:ascii="仿宋_GB2312" w:hAnsi="仿宋_GB2312" w:eastAsia="仿宋_GB2312" w:cs="仿宋_GB2312"/>
          <w:b/>
          <w:sz w:val="32"/>
          <w:szCs w:val="32"/>
        </w:rPr>
        <w:t>六是</w:t>
      </w:r>
      <w:r>
        <w:rPr>
          <w:rFonts w:hint="eastAsia" w:ascii="仿宋_GB2312" w:hAnsi="仿宋_GB2312" w:eastAsia="仿宋_GB2312" w:cs="仿宋_GB2312"/>
          <w:sz w:val="32"/>
          <w:szCs w:val="32"/>
        </w:rPr>
        <w:t>在杜绝“乱收费、乱摊派”的前提下，对近年来执收执罚情况进一步进行梳理，并实行月度通报制度，依法依规加强非税收入征管。</w:t>
      </w:r>
      <w:r>
        <w:rPr>
          <w:rFonts w:hint="eastAsia" w:ascii="仿宋_GB2312" w:hAnsi="仿宋_GB2312" w:eastAsia="仿宋_GB2312" w:cs="仿宋_GB2312"/>
          <w:b/>
          <w:bCs/>
          <w:sz w:val="32"/>
          <w:szCs w:val="32"/>
        </w:rPr>
        <w:t>七是</w:t>
      </w:r>
      <w:r>
        <w:rPr>
          <w:rFonts w:hint="eastAsia" w:ascii="仿宋_GB2312" w:hAnsi="仿宋_GB2312" w:eastAsia="仿宋_GB2312" w:cs="仿宋_GB2312"/>
          <w:sz w:val="32"/>
          <w:szCs w:val="32"/>
        </w:rPr>
        <w:t>统筹前期投入全部计入土地开发成本，提高土地出让亩均单价，增加政府基金收入规模。</w:t>
      </w:r>
    </w:p>
    <w:p>
      <w:pPr>
        <w:spacing w:line="560" w:lineRule="exact"/>
        <w:ind w:firstLine="643" w:firstLineChars="200"/>
        <w:rPr>
          <w:rFonts w:ascii="仿宋_GB2312" w:hAnsi="黑体" w:eastAsia="仿宋_GB2312"/>
          <w:sz w:val="32"/>
          <w:szCs w:val="32"/>
        </w:rPr>
      </w:pPr>
      <w:r>
        <w:rPr>
          <w:rFonts w:hint="eastAsia" w:ascii="楷体_GB2312" w:hAnsi="楷体_GB2312" w:eastAsia="楷体_GB2312" w:cs="楷体_GB2312"/>
          <w:b/>
          <w:color w:val="000000"/>
          <w:kern w:val="0"/>
          <w:sz w:val="32"/>
          <w:szCs w:val="32"/>
        </w:rPr>
        <w:t>（二）持续用劲争取支持，促发展。</w:t>
      </w:r>
      <w:r>
        <w:rPr>
          <w:rFonts w:hint="eastAsia" w:ascii="仿宋_GB2312" w:hAnsi="仿宋_GB2312" w:eastAsia="仿宋_GB2312" w:cs="仿宋_GB2312"/>
          <w:kern w:val="0"/>
          <w:sz w:val="32"/>
          <w:szCs w:val="32"/>
        </w:rPr>
        <w:t>牢固树立“向上争取资金、政策与抓收入同等重要”的理念，千方百计争取更多的上级资金和政策支持。</w:t>
      </w:r>
      <w:r>
        <w:rPr>
          <w:rFonts w:hint="eastAsia" w:ascii="仿宋_GB2312" w:hAnsi="仿宋_GB2312" w:eastAsia="仿宋_GB2312" w:cs="仿宋_GB2312"/>
          <w:b/>
          <w:bCs/>
          <w:color w:val="000000"/>
          <w:kern w:val="0"/>
          <w:sz w:val="32"/>
          <w:szCs w:val="32"/>
        </w:rPr>
        <w:t>一是</w:t>
      </w:r>
      <w:r>
        <w:rPr>
          <w:rFonts w:hint="eastAsia" w:ascii="仿宋_GB2312" w:hAnsi="仿宋_GB2312" w:eastAsia="仿宋_GB2312" w:cs="仿宋_GB2312"/>
          <w:color w:val="000000"/>
          <w:kern w:val="0"/>
          <w:sz w:val="32"/>
          <w:szCs w:val="32"/>
        </w:rPr>
        <w:t>定期对到位资金进行横向与全市各县、纵向与历年到位情况进行分析对比，包括财力性转移支付、共同事权和专项转移支付，力争2024年全县争取资金规模增幅百分比在两位数以上。</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提高政府投资项目储备质量，</w:t>
      </w:r>
      <w:r>
        <w:rPr>
          <w:rFonts w:hint="eastAsia" w:ascii="仿宋_GB2312" w:hAnsi="仿宋_GB2312" w:eastAsia="仿宋_GB2312" w:cs="仿宋_GB2312"/>
          <w:color w:val="000000"/>
          <w:sz w:val="32"/>
          <w:szCs w:val="32"/>
        </w:rPr>
        <w:t>通过成立争取政策资金专班，</w:t>
      </w:r>
      <w:r>
        <w:rPr>
          <w:rFonts w:hint="eastAsia" w:ascii="仿宋_GB2312" w:hAnsi="仿宋_GB2312" w:eastAsia="仿宋_GB2312" w:cs="仿宋_GB2312"/>
          <w:sz w:val="32"/>
          <w:szCs w:val="32"/>
        </w:rPr>
        <w:t>积极争取上级政策资金支持。</w:t>
      </w:r>
      <w:r>
        <w:rPr>
          <w:rFonts w:hint="eastAsia" w:ascii="仿宋_GB2312" w:hAnsi="仿宋_GB2312" w:eastAsia="仿宋_GB2312" w:cs="仿宋_GB2312"/>
          <w:color w:val="000000"/>
          <w:kern w:val="0"/>
          <w:sz w:val="32"/>
          <w:szCs w:val="32"/>
        </w:rPr>
        <w:t>建立争取资金月通报机制，对各部门、各乡镇争取上级资金成效进行排队，并纳入年底考核。</w:t>
      </w:r>
      <w:r>
        <w:rPr>
          <w:rFonts w:hint="eastAsia" w:ascii="仿宋_GB2312" w:hAnsi="仿宋_GB2312" w:eastAsia="仿宋_GB2312" w:cs="仿宋_GB2312"/>
          <w:b/>
          <w:bCs/>
          <w:color w:val="000000"/>
          <w:kern w:val="0"/>
          <w:sz w:val="32"/>
          <w:szCs w:val="32"/>
        </w:rPr>
        <w:t>三是</w:t>
      </w:r>
      <w:r>
        <w:rPr>
          <w:rFonts w:hint="eastAsia" w:ascii="仿宋_GB2312" w:hAnsi="仿宋_GB2312" w:eastAsia="仿宋_GB2312" w:cs="仿宋_GB2312"/>
          <w:color w:val="000000"/>
          <w:kern w:val="0"/>
          <w:sz w:val="32"/>
          <w:szCs w:val="32"/>
        </w:rPr>
        <w:t>全力争取债券资金，同时对县域停车场项目、32万亩退耕还林地再利用项目进行合理谋划和包装，由国控公司争取政策性资金支持，力争达到5亿元-8亿元。</w:t>
      </w:r>
    </w:p>
    <w:p>
      <w:pPr>
        <w:spacing w:line="560" w:lineRule="exact"/>
        <w:ind w:firstLine="643" w:firstLineChars="200"/>
        <w:rPr>
          <w:rFonts w:hint="eastAsia" w:ascii="楷体_GB2312" w:hAnsi="黑体" w:eastAsia="楷体_GB2312"/>
          <w:b/>
          <w:bCs/>
          <w:color w:val="000000"/>
          <w:sz w:val="32"/>
          <w:szCs w:val="32"/>
        </w:rPr>
      </w:pPr>
      <w:r>
        <w:rPr>
          <w:rFonts w:hint="eastAsia" w:ascii="楷体_GB2312" w:hAnsi="楷体_GB2312" w:eastAsia="楷体_GB2312" w:cs="楷体_GB2312"/>
          <w:b/>
          <w:color w:val="000000"/>
          <w:kern w:val="0"/>
          <w:sz w:val="32"/>
          <w:szCs w:val="32"/>
        </w:rPr>
        <w:t>（三）过“紧日子”平稳运行，优结构。</w:t>
      </w:r>
      <w:r>
        <w:rPr>
          <w:rFonts w:hint="eastAsia" w:ascii="仿宋_GB2312" w:hAnsi="仿宋_GB2312" w:eastAsia="仿宋_GB2312" w:cs="仿宋_GB2312"/>
          <w:bCs/>
          <w:sz w:val="32"/>
          <w:szCs w:val="32"/>
        </w:rPr>
        <w:t>兜住、兜准、兜牢民生底线，让广大群众共享改革发展成果。</w:t>
      </w:r>
      <w:r>
        <w:rPr>
          <w:rFonts w:hint="eastAsia" w:ascii="仿宋_GB2312" w:hAnsi="仿宋_GB2312" w:eastAsia="仿宋_GB2312" w:cs="仿宋_GB2312"/>
          <w:b/>
          <w:sz w:val="32"/>
          <w:szCs w:val="32"/>
        </w:rPr>
        <w:t>一是</w:t>
      </w:r>
      <w:r>
        <w:rPr>
          <w:rFonts w:hint="eastAsia" w:ascii="仿宋_GB2312" w:hAnsi="仿宋_GB2312" w:eastAsia="仿宋_GB2312" w:cs="仿宋_GB2312"/>
          <w:bCs/>
          <w:color w:val="000000"/>
          <w:sz w:val="32"/>
          <w:szCs w:val="32"/>
        </w:rPr>
        <w:t>分清轻重缓急，合理安排财政支出，确保国家要求的基本民生政策和个人部分均落到实处。</w:t>
      </w:r>
      <w:r>
        <w:rPr>
          <w:rFonts w:hint="eastAsia" w:ascii="仿宋_GB2312" w:hAnsi="仿宋_GB2312" w:eastAsia="仿宋_GB2312" w:cs="仿宋_GB2312"/>
          <w:b/>
          <w:sz w:val="32"/>
          <w:szCs w:val="32"/>
        </w:rPr>
        <w:t>二是</w:t>
      </w:r>
      <w:r>
        <w:rPr>
          <w:rFonts w:hint="eastAsia" w:ascii="仿宋_GB2312" w:hAnsi="仿宋_GB2312" w:eastAsia="仿宋_GB2312" w:cs="仿宋_GB2312"/>
          <w:sz w:val="32"/>
          <w:szCs w:val="32"/>
        </w:rPr>
        <w:t>党政机关带头“勒紧腰带过紧日子”，</w:t>
      </w:r>
      <w:r>
        <w:rPr>
          <w:rFonts w:hint="eastAsia" w:ascii="仿宋_GB2312" w:hAnsi="仿宋_GB2312" w:eastAsia="仿宋_GB2312" w:cs="仿宋_GB2312"/>
          <w:color w:val="000000"/>
          <w:sz w:val="32"/>
          <w:szCs w:val="32"/>
        </w:rPr>
        <w:t>坚持尽力而为、量力而行，全面实行零基预算和综合预算，打破支出固化格局。集中财力办大事，同类专款项目打捆包装，实现项目跨乡镇、跨部门整合，形成有效的固定资产投资，力争每个项目规模在2000万元以上。</w:t>
      </w:r>
      <w:r>
        <w:rPr>
          <w:rFonts w:hint="eastAsia" w:ascii="仿宋_GB2312" w:hAnsi="仿宋_GB2312" w:eastAsia="仿宋_GB2312" w:cs="仿宋_GB2312"/>
          <w:b/>
          <w:sz w:val="32"/>
          <w:szCs w:val="32"/>
        </w:rPr>
        <w:t>三是</w:t>
      </w:r>
      <w:r>
        <w:rPr>
          <w:rFonts w:hint="eastAsia" w:ascii="仿宋_GB2312" w:hAnsi="仿宋_GB2312" w:eastAsia="仿宋_GB2312" w:cs="仿宋_GB2312"/>
          <w:sz w:val="32"/>
          <w:szCs w:val="32"/>
        </w:rPr>
        <w:t>研究差额、自支、聘用人员流动管控办法，同时逐步控制、压减临时聘用人员，</w:t>
      </w:r>
      <w:r>
        <w:rPr>
          <w:rFonts w:hint="eastAsia" w:ascii="仿宋_GB2312" w:hAnsi="黑体" w:eastAsia="仿宋_GB2312"/>
          <w:sz w:val="32"/>
          <w:szCs w:val="32"/>
        </w:rPr>
        <w:t>减轻非财政供养人员支出包袱。</w:t>
      </w:r>
      <w:r>
        <w:rPr>
          <w:rFonts w:hint="eastAsia" w:ascii="仿宋_GB2312" w:hAnsi="仿宋_GB2312" w:eastAsia="仿宋_GB2312" w:cs="仿宋_GB2312"/>
          <w:bCs/>
          <w:color w:val="000000"/>
          <w:sz w:val="32"/>
          <w:szCs w:val="32"/>
        </w:rPr>
        <w:t>按照上级政策要求，对单位临时聘用、购买服务人员进行梳理，对应由本单位履行职责的工作事项不得通过政府购买服务等方式变相增加编外人员预算。2024年预算编制中对编外人员进行了审核，无正式签批依据的均未列入年初人员预算，此部分人员需要用人单位对其职能进行再梳理，能够压减的逐步压减，必须继续使用的由其单位通过自身增收解决。</w:t>
      </w:r>
      <w:r>
        <w:rPr>
          <w:rFonts w:hint="eastAsia" w:ascii="仿宋_GB2312" w:hAnsi="仿宋_GB2312" w:eastAsia="仿宋_GB2312" w:cs="仿宋_GB2312"/>
          <w:b/>
          <w:sz w:val="32"/>
          <w:szCs w:val="32"/>
        </w:rPr>
        <w:t>四是</w:t>
      </w:r>
      <w:r>
        <w:rPr>
          <w:rFonts w:hint="eastAsia" w:ascii="仿宋_GB2312" w:hAnsi="仿宋_GB2312" w:eastAsia="仿宋_GB2312" w:cs="仿宋_GB2312"/>
          <w:bCs/>
          <w:sz w:val="32"/>
          <w:szCs w:val="32"/>
        </w:rPr>
        <w:t>在摸清全县资源资产的基础上，盘活现有闲置资产，合理利用，加快变现，</w:t>
      </w:r>
      <w:r>
        <w:rPr>
          <w:rFonts w:hint="eastAsia" w:ascii="仿宋_GB2312" w:hAnsi="仿宋_GB2312" w:eastAsia="仿宋_GB2312" w:cs="仿宋_GB2312"/>
          <w:bCs/>
          <w:color w:val="000000"/>
          <w:sz w:val="32"/>
          <w:szCs w:val="32"/>
        </w:rPr>
        <w:t>以存量调控增量，优化资源配置，推动解决资产重复配置、闲置浪费等问题。</w:t>
      </w:r>
    </w:p>
    <w:p>
      <w:pPr>
        <w:spacing w:line="560" w:lineRule="exact"/>
        <w:ind w:firstLine="643" w:firstLineChars="200"/>
        <w:rPr>
          <w:rFonts w:hint="eastAsia" w:ascii="仿宋_GB2312" w:hAnsi="仿宋_GB2312" w:eastAsia="仿宋_GB2312" w:cs="仿宋_GB2312"/>
          <w:sz w:val="32"/>
          <w:szCs w:val="32"/>
        </w:rPr>
      </w:pPr>
      <w:r>
        <w:rPr>
          <w:rFonts w:hint="eastAsia" w:ascii="楷体_GB2312" w:hAnsi="楷体_GB2312" w:eastAsia="楷体_GB2312" w:cs="楷体_GB2312"/>
          <w:b/>
          <w:color w:val="000000"/>
          <w:kern w:val="0"/>
          <w:sz w:val="32"/>
          <w:szCs w:val="32"/>
        </w:rPr>
        <w:t>（四）多措并举防范风险，保稳定。</w:t>
      </w:r>
      <w:r>
        <w:rPr>
          <w:rFonts w:hint="eastAsia" w:ascii="仿宋_GB2312" w:hAnsi="仿宋_GB2312" w:eastAsia="仿宋_GB2312" w:cs="仿宋_GB2312"/>
          <w:kern w:val="0"/>
          <w:sz w:val="32"/>
          <w:szCs w:val="32"/>
        </w:rPr>
        <w:t>进一步研究谋划改革举措，有效防范和化解好面临的风险。</w:t>
      </w:r>
      <w:r>
        <w:rPr>
          <w:rFonts w:hint="eastAsia" w:ascii="仿宋_GB2312" w:hAnsi="仿宋_GB2312" w:eastAsia="仿宋_GB2312" w:cs="仿宋_GB2312"/>
          <w:b/>
          <w:sz w:val="32"/>
          <w:szCs w:val="32"/>
        </w:rPr>
        <w:t>一是</w:t>
      </w:r>
      <w:r>
        <w:rPr>
          <w:rFonts w:hint="eastAsia" w:ascii="仿宋_GB2312" w:hAnsi="仿宋_GB2312" w:eastAsia="仿宋_GB2312" w:cs="仿宋_GB2312"/>
          <w:sz w:val="32"/>
          <w:szCs w:val="32"/>
        </w:rPr>
        <w:t>硬化预算约束，讲求绩效，坚决杜绝“部门单位不提前统筹规划、绩效不达标、不到火烧眉毛不着急、来就是急”等被动拨付资金的情况。</w:t>
      </w:r>
      <w:r>
        <w:rPr>
          <w:rFonts w:hint="eastAsia" w:ascii="仿宋_GB2312" w:hAnsi="仿宋_GB2312" w:eastAsia="仿宋_GB2312" w:cs="仿宋_GB2312"/>
          <w:b/>
          <w:sz w:val="32"/>
          <w:szCs w:val="32"/>
        </w:rPr>
        <w:t>二是</w:t>
      </w:r>
      <w:r>
        <w:rPr>
          <w:rFonts w:hint="eastAsia" w:ascii="仿宋_GB2312" w:hAnsi="仿宋_GB2312" w:eastAsia="仿宋_GB2312" w:cs="仿宋_GB2312"/>
          <w:sz w:val="32"/>
          <w:szCs w:val="32"/>
        </w:rPr>
        <w:t>兜清以前历史欠账，妥善研究分期化解。确定后续项目实施计划，研究资金来源，无明确资金来源项目不能实施。</w:t>
      </w:r>
      <w:r>
        <w:rPr>
          <w:rFonts w:hint="eastAsia" w:ascii="仿宋_GB2312" w:hAnsi="仿宋_GB2312" w:eastAsia="仿宋_GB2312" w:cs="仿宋_GB2312"/>
          <w:b/>
          <w:sz w:val="32"/>
          <w:szCs w:val="32"/>
        </w:rPr>
        <w:t>三是</w:t>
      </w:r>
      <w:r>
        <w:rPr>
          <w:rFonts w:hint="eastAsia" w:ascii="仿宋_GB2312" w:hAnsi="仿宋_GB2312" w:eastAsia="仿宋_GB2312" w:cs="仿宋_GB2312"/>
          <w:bCs/>
          <w:sz w:val="32"/>
          <w:szCs w:val="32"/>
        </w:rPr>
        <w:t>除特殊项目资金外，</w:t>
      </w:r>
      <w:r>
        <w:rPr>
          <w:rFonts w:hint="eastAsia" w:ascii="仿宋_GB2312" w:hAnsi="仿宋_GB2312" w:eastAsia="仿宋_GB2312" w:cs="仿宋_GB2312"/>
          <w:sz w:val="32"/>
          <w:szCs w:val="32"/>
        </w:rPr>
        <w:t>其他政府投资项目实行分期付款，</w:t>
      </w:r>
      <w:r>
        <w:rPr>
          <w:rFonts w:hint="eastAsia" w:ascii="仿宋_GB2312" w:hAnsi="仿宋_GB2312" w:eastAsia="仿宋_GB2312" w:cs="仿宋_GB2312"/>
          <w:color w:val="000000"/>
          <w:sz w:val="32"/>
          <w:szCs w:val="32"/>
        </w:rPr>
        <w:t>在与企业签订合同书时，不能再约定利息及违约金，已经实施有合同约定的要与企业签订补充条款。</w:t>
      </w:r>
      <w:r>
        <w:rPr>
          <w:rFonts w:hint="eastAsia" w:ascii="仿宋_GB2312" w:hAnsi="仿宋_GB2312" w:eastAsia="仿宋_GB2312" w:cs="仿宋_GB2312"/>
          <w:b/>
          <w:sz w:val="32"/>
          <w:szCs w:val="32"/>
        </w:rPr>
        <w:t>四是</w:t>
      </w:r>
      <w:r>
        <w:rPr>
          <w:rFonts w:hint="eastAsia" w:ascii="仿宋_GB2312" w:hAnsi="仿宋_GB2312" w:eastAsia="仿宋_GB2312" w:cs="仿宋_GB2312"/>
          <w:sz w:val="32"/>
          <w:szCs w:val="32"/>
        </w:rPr>
        <w:t>采取拍卖资产、委托“第三方”等有效举措，加快财政借款清收，确保国有资产不流失。</w:t>
      </w:r>
      <w:r>
        <w:rPr>
          <w:rFonts w:hint="eastAsia" w:ascii="仿宋_GB2312" w:hAnsi="仿宋_GB2312" w:eastAsia="仿宋_GB2312" w:cs="仿宋_GB2312"/>
          <w:b/>
          <w:bCs/>
          <w:sz w:val="32"/>
          <w:szCs w:val="32"/>
        </w:rPr>
        <w:t>五是</w:t>
      </w:r>
      <w:r>
        <w:rPr>
          <w:rFonts w:hint="eastAsia" w:ascii="仿宋_GB2312" w:hAnsi="仿宋_GB2312" w:eastAsia="仿宋_GB2312" w:cs="仿宋_GB2312"/>
          <w:sz w:val="32"/>
          <w:szCs w:val="32"/>
        </w:rPr>
        <w:t>持续开展财会业务监督工作，</w:t>
      </w:r>
      <w:r>
        <w:rPr>
          <w:rFonts w:hint="eastAsia" w:ascii="仿宋_GB2312" w:hAnsi="Verdana" w:eastAsia="仿宋_GB2312" w:cs="仿宋_GB2312"/>
          <w:sz w:val="32"/>
          <w:szCs w:val="32"/>
        </w:rPr>
        <w:t>加大财会监督任务落实、问题整改等情况的督导检查力度，发现问题及时提醒整改，更有效、更好的保障全县财政事业发展。</w:t>
      </w:r>
    </w:p>
    <w:p>
      <w:pPr>
        <w:spacing w:line="560" w:lineRule="exact"/>
        <w:ind w:firstLine="640" w:firstLineChars="200"/>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sz w:val="32"/>
          <w:szCs w:val="32"/>
          <w:shd w:val="clear" w:color="auto" w:fill="FFFFFF"/>
        </w:rPr>
        <w:t>2024年财政工作任务艰巨、使命光荣。</w:t>
      </w:r>
      <w:r>
        <w:rPr>
          <w:rFonts w:hint="eastAsia" w:ascii="仿宋_GB2312" w:hAnsi="仿宋_GB2312" w:eastAsia="仿宋_GB2312" w:cs="仿宋_GB2312"/>
          <w:color w:val="000000"/>
          <w:kern w:val="0"/>
          <w:sz w:val="32"/>
          <w:szCs w:val="32"/>
        </w:rPr>
        <w:t>我们有信心、有决心，在县委的坚强领导下，在县人大和政协的监督支持下，开源节流、增收节支、综合施策，继续扛起历史使命、展现财政担当，为全面开创建设高质量发展的“经济强县、美丽隆化”贡献力量</w:t>
      </w:r>
      <w:r>
        <w:rPr>
          <w:rFonts w:hint="eastAsia" w:ascii="仿宋_GB2312" w:hAnsi="仿宋_GB2312" w:eastAsia="仿宋_GB2312" w:cs="仿宋_GB2312"/>
          <w:color w:val="000000"/>
          <w:kern w:val="0"/>
          <w:sz w:val="32"/>
          <w:szCs w:val="32"/>
          <w:lang w:eastAsia="zh-CN"/>
        </w:rPr>
        <w:t>。</w:t>
      </w:r>
      <w:bookmarkStart w:id="0" w:name="_GoBack"/>
      <w:bookmarkEnd w:id="0"/>
    </w:p>
    <w:p>
      <w:pPr>
        <w:widowControl/>
        <w:spacing w:line="560" w:lineRule="exact"/>
        <w:ind w:firstLine="880" w:firstLineChars="200"/>
        <w:rPr>
          <w:rFonts w:ascii="方正小标宋简体" w:eastAsia="方正小标宋简体"/>
          <w:sz w:val="44"/>
          <w:szCs w:val="44"/>
          <w:highlight w:val="gree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8E1CA8"/>
    <w:multiLevelType w:val="multilevel"/>
    <w:tmpl w:val="1C8E1CA8"/>
    <w:lvl w:ilvl="0" w:tentative="0">
      <w:start w:val="1"/>
      <w:numFmt w:val="decimal"/>
      <w:pStyle w:val="2"/>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FiMTEwMTFhNGE0ZTc5NjUxYjBjODdkNWZkNzJhZWUifQ=="/>
  </w:docVars>
  <w:rsids>
    <w:rsidRoot w:val="00690EA4"/>
    <w:rsid w:val="000D76E3"/>
    <w:rsid w:val="00110A4E"/>
    <w:rsid w:val="00144079"/>
    <w:rsid w:val="004C138D"/>
    <w:rsid w:val="004D0E1F"/>
    <w:rsid w:val="004F0A99"/>
    <w:rsid w:val="005955E6"/>
    <w:rsid w:val="005C72D5"/>
    <w:rsid w:val="00666C1A"/>
    <w:rsid w:val="00671F83"/>
    <w:rsid w:val="00690EA4"/>
    <w:rsid w:val="00932BF9"/>
    <w:rsid w:val="00AB290E"/>
    <w:rsid w:val="00B607AF"/>
    <w:rsid w:val="00C516A3"/>
    <w:rsid w:val="00EE3A24"/>
    <w:rsid w:val="1242207A"/>
    <w:rsid w:val="14BF44DB"/>
    <w:rsid w:val="658D14D8"/>
    <w:rsid w:val="6E9D0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List Number"/>
    <w:basedOn w:val="1"/>
    <w:semiHidden/>
    <w:unhideWhenUsed/>
    <w:qFormat/>
    <w:uiPriority w:val="99"/>
    <w:pPr>
      <w:numPr>
        <w:ilvl w:val="0"/>
        <w:numId w:val="1"/>
      </w:numPr>
      <w:ind w:left="360" w:hanging="360" w:hangingChars="200"/>
      <w:contextualSpacing/>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paragraph" w:customStyle="1" w:styleId="10">
    <w:name w:val="正文列表编号"/>
    <w:basedOn w:val="2"/>
    <w:next w:val="2"/>
    <w:qFormat/>
    <w:uiPriority w:val="0"/>
    <w:pPr>
      <w:widowControl/>
      <w:numPr>
        <w:numId w:val="0"/>
      </w:numPr>
      <w:tabs>
        <w:tab w:val="left" w:pos="360"/>
      </w:tabs>
      <w:spacing w:beforeLines="50" w:line="360" w:lineRule="auto"/>
      <w:ind w:left="1600" w:hanging="200"/>
      <w:jc w:val="left"/>
    </w:pPr>
    <w:rPr>
      <w:rFonts w:ascii="Verdana" w:hAnsi="Verdana" w:eastAsia="宋体" w:cs="Times New Roman"/>
      <w:kern w:val="0"/>
      <w:sz w:val="24"/>
      <w:szCs w:val="28"/>
      <w:lang w:eastAsia="en-US"/>
    </w:rPr>
  </w:style>
  <w:style w:type="character" w:customStyle="1" w:styleId="11">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1802</Words>
  <Characters>1825</Characters>
  <Lines>8</Lines>
  <Paragraphs>2</Paragraphs>
  <TotalTime>1</TotalTime>
  <ScaleCrop>false</ScaleCrop>
  <LinksUpToDate>false</LinksUpToDate>
  <CharactersWithSpaces>1825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2019-04-02T08:59:00Z</dcterms:created>
  <dc:creator>王冰</dc:creator>
  <cp:lastModifiedBy>Administrator</cp:lastModifiedBy>
  <dcterms:modified xsi:type="dcterms:W3CDTF">2024-02-07T08:36:26Z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1C6F782D375A4B83A805DBCD15650620</vt:lpwstr>
  </property>
</Properties>
</file>