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440" w:firstLineChars="100"/>
        <w:jc w:val="center"/>
        <w:rPr>
          <w:rFonts w:ascii="方正小标宋简体" w:eastAsia="方正小标宋简体" w:hAnsiTheme="minorEastAsia"/>
          <w:sz w:val="44"/>
          <w:shd w:val="clear" w:color="auto" w:fill="FFFFFF"/>
        </w:rPr>
      </w:pPr>
      <w:r>
        <w:rPr>
          <w:rFonts w:hint="eastAsia" w:ascii="方正小标宋简体" w:eastAsia="方正小标宋简体" w:hAnsiTheme="minorEastAsia"/>
          <w:sz w:val="44"/>
          <w:shd w:val="clear" w:color="auto" w:fill="FFFFFF"/>
        </w:rPr>
        <w:t>关于债务限额及举借债务情况说明</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一、政府债务限额情况</w:t>
      </w:r>
    </w:p>
    <w:p>
      <w:pPr>
        <w:adjustRightInd w:val="0"/>
        <w:snapToGrid w:val="0"/>
        <w:spacing w:line="56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截至20</w:t>
      </w:r>
      <w:r>
        <w:rPr>
          <w:rFonts w:ascii="仿宋_GB2312" w:hAnsi="华文仿宋" w:eastAsia="仿宋_GB2312"/>
          <w:sz w:val="32"/>
          <w:szCs w:val="32"/>
        </w:rPr>
        <w:t>2</w:t>
      </w:r>
      <w:r>
        <w:rPr>
          <w:rFonts w:hint="eastAsia" w:ascii="仿宋_GB2312" w:hAnsi="华文仿宋" w:eastAsia="仿宋_GB2312"/>
          <w:sz w:val="32"/>
          <w:szCs w:val="32"/>
          <w:lang w:val="en-US" w:eastAsia="zh-CN"/>
        </w:rPr>
        <w:t>3</w:t>
      </w:r>
      <w:r>
        <w:rPr>
          <w:rFonts w:hint="eastAsia" w:ascii="仿宋_GB2312" w:hAnsi="华文仿宋" w:eastAsia="仿宋_GB2312"/>
          <w:sz w:val="32"/>
          <w:szCs w:val="32"/>
        </w:rPr>
        <w:t>年末，经河北省财政厅批复我县政府债务总限额为</w:t>
      </w:r>
      <w:r>
        <w:rPr>
          <w:rFonts w:hint="eastAsia" w:ascii="仿宋_GB2312" w:hAnsi="华文仿宋" w:eastAsia="仿宋_GB2312"/>
          <w:sz w:val="32"/>
          <w:szCs w:val="32"/>
          <w:lang w:val="en-US" w:eastAsia="zh-CN"/>
        </w:rPr>
        <w:t>57.69</w:t>
      </w:r>
      <w:r>
        <w:rPr>
          <w:rFonts w:hint="eastAsia" w:ascii="仿宋_GB2312" w:hAnsi="华文仿宋" w:eastAsia="仿宋_GB2312"/>
          <w:sz w:val="32"/>
          <w:szCs w:val="32"/>
        </w:rPr>
        <w:t>亿元，其中：一般债务限额</w:t>
      </w:r>
      <w:r>
        <w:rPr>
          <w:rFonts w:hint="eastAsia" w:ascii="仿宋_GB2312" w:hAnsi="华文仿宋" w:eastAsia="仿宋_GB2312"/>
          <w:sz w:val="32"/>
          <w:szCs w:val="32"/>
          <w:lang w:val="en-US" w:eastAsia="zh-CN"/>
        </w:rPr>
        <w:t>33.63</w:t>
      </w:r>
      <w:r>
        <w:rPr>
          <w:rFonts w:hint="eastAsia" w:ascii="仿宋_GB2312" w:hAnsi="华文仿宋" w:eastAsia="仿宋_GB2312"/>
          <w:sz w:val="32"/>
          <w:szCs w:val="32"/>
        </w:rPr>
        <w:t>亿元，占比</w:t>
      </w:r>
      <w:r>
        <w:rPr>
          <w:rFonts w:hint="eastAsia" w:ascii="仿宋_GB2312" w:hAnsi="华文仿宋" w:eastAsia="仿宋_GB2312"/>
          <w:sz w:val="32"/>
          <w:szCs w:val="32"/>
          <w:lang w:val="en-US" w:eastAsia="zh-CN"/>
        </w:rPr>
        <w:t>58.29</w:t>
      </w:r>
      <w:r>
        <w:rPr>
          <w:rFonts w:hint="eastAsia" w:ascii="仿宋_GB2312" w:hAnsi="华文仿宋" w:eastAsia="仿宋_GB2312"/>
          <w:sz w:val="32"/>
          <w:szCs w:val="32"/>
        </w:rPr>
        <w:t>%；专项债务限额</w:t>
      </w:r>
      <w:r>
        <w:rPr>
          <w:rFonts w:hint="eastAsia" w:ascii="仿宋_GB2312" w:hAnsi="华文仿宋" w:eastAsia="仿宋_GB2312"/>
          <w:sz w:val="32"/>
          <w:szCs w:val="32"/>
          <w:lang w:val="en-US" w:eastAsia="zh-CN"/>
        </w:rPr>
        <w:t>24.06</w:t>
      </w:r>
      <w:r>
        <w:rPr>
          <w:rFonts w:hint="eastAsia" w:ascii="仿宋_GB2312" w:hAnsi="华文仿宋" w:eastAsia="仿宋_GB2312"/>
          <w:sz w:val="32"/>
          <w:szCs w:val="32"/>
        </w:rPr>
        <w:t>亿元，占比</w:t>
      </w:r>
      <w:r>
        <w:rPr>
          <w:rFonts w:hint="eastAsia" w:ascii="仿宋_GB2312" w:hAnsi="华文仿宋" w:eastAsia="仿宋_GB2312"/>
          <w:sz w:val="32"/>
          <w:szCs w:val="32"/>
          <w:lang w:val="en-US" w:eastAsia="zh-CN"/>
        </w:rPr>
        <w:t>41.71</w:t>
      </w:r>
      <w:r>
        <w:rPr>
          <w:rFonts w:hint="eastAsia" w:ascii="仿宋_GB2312" w:hAnsi="华文仿宋" w:eastAsia="仿宋_GB2312"/>
          <w:sz w:val="32"/>
          <w:szCs w:val="32"/>
        </w:rPr>
        <w:t>%。</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二、政府债务限额使用情况</w:t>
      </w:r>
    </w:p>
    <w:p>
      <w:pPr>
        <w:adjustRightInd w:val="0"/>
        <w:snapToGrid w:val="0"/>
        <w:spacing w:line="560" w:lineRule="exact"/>
        <w:ind w:firstLine="640" w:firstLineChars="200"/>
        <w:rPr>
          <w:rFonts w:ascii="仿宋_GB2312" w:hAnsi="华文仿宋" w:eastAsia="仿宋_GB2312"/>
          <w:color w:val="F79646" w:themeColor="accent6"/>
          <w:sz w:val="32"/>
          <w:szCs w:val="32"/>
          <w14:textFill>
            <w14:solidFill>
              <w14:schemeClr w14:val="accent6"/>
            </w14:solidFill>
          </w14:textFill>
        </w:rPr>
      </w:pPr>
      <w:r>
        <w:rPr>
          <w:rFonts w:hint="eastAsia" w:ascii="仿宋_GB2312" w:hAnsi="华文仿宋" w:eastAsia="仿宋_GB2312"/>
          <w:sz w:val="32"/>
          <w:szCs w:val="32"/>
        </w:rPr>
        <w:t>截至20</w:t>
      </w:r>
      <w:r>
        <w:rPr>
          <w:rFonts w:hint="eastAsia" w:ascii="仿宋_GB2312" w:hAnsi="华文仿宋" w:eastAsia="仿宋_GB2312"/>
          <w:sz w:val="32"/>
          <w:szCs w:val="32"/>
          <w:lang w:val="en-US" w:eastAsia="zh-CN"/>
        </w:rPr>
        <w:t>23</w:t>
      </w:r>
      <w:r>
        <w:rPr>
          <w:rFonts w:hint="eastAsia" w:ascii="仿宋_GB2312" w:hAnsi="华文仿宋" w:eastAsia="仿宋_GB2312"/>
          <w:sz w:val="32"/>
          <w:szCs w:val="32"/>
        </w:rPr>
        <w:t>年末，我县政府债务余额为</w:t>
      </w:r>
      <w:r>
        <w:rPr>
          <w:rFonts w:hint="eastAsia" w:ascii="仿宋_GB2312" w:hAnsi="华文仿宋" w:eastAsia="仿宋_GB2312"/>
          <w:sz w:val="32"/>
          <w:szCs w:val="32"/>
          <w:lang w:val="en-US" w:eastAsia="zh-CN"/>
        </w:rPr>
        <w:t>56.14</w:t>
      </w:r>
      <w:r>
        <w:rPr>
          <w:rFonts w:hint="eastAsia" w:ascii="仿宋_GB2312" w:hAnsi="华文仿宋" w:eastAsia="仿宋_GB2312"/>
          <w:sz w:val="32"/>
          <w:szCs w:val="32"/>
        </w:rPr>
        <w:t>亿元，较上年52.1477亿元，增加</w:t>
      </w:r>
      <w:r>
        <w:rPr>
          <w:rFonts w:hint="eastAsia" w:ascii="仿宋_GB2312" w:hAnsi="华文仿宋" w:eastAsia="仿宋_GB2312"/>
          <w:sz w:val="32"/>
          <w:szCs w:val="32"/>
          <w:lang w:val="en-US" w:eastAsia="zh-CN"/>
        </w:rPr>
        <w:t>3.99</w:t>
      </w:r>
      <w:r>
        <w:rPr>
          <w:rFonts w:hint="eastAsia" w:ascii="仿宋_GB2312" w:hAnsi="华文仿宋" w:eastAsia="仿宋_GB2312"/>
          <w:sz w:val="32"/>
          <w:szCs w:val="32"/>
        </w:rPr>
        <w:t>亿元，</w:t>
      </w:r>
      <w:r>
        <w:rPr>
          <w:rFonts w:hint="eastAsia" w:ascii="仿宋_GB2312" w:hAnsi="华文仿宋" w:eastAsia="仿宋_GB2312"/>
          <w:color w:val="auto"/>
          <w:sz w:val="32"/>
          <w:szCs w:val="32"/>
        </w:rPr>
        <w:t>限额使用比例</w:t>
      </w:r>
      <w:r>
        <w:rPr>
          <w:rFonts w:hint="eastAsia" w:ascii="仿宋_GB2312" w:hAnsi="华文仿宋" w:eastAsia="仿宋_GB2312"/>
          <w:color w:val="auto"/>
          <w:sz w:val="32"/>
          <w:szCs w:val="32"/>
          <w:lang w:val="en-US" w:eastAsia="zh-CN"/>
        </w:rPr>
        <w:t>97.31</w:t>
      </w:r>
      <w:r>
        <w:rPr>
          <w:rFonts w:hint="eastAsia" w:ascii="仿宋_GB2312" w:hAnsi="华文仿宋" w:eastAsia="仿宋_GB2312"/>
          <w:color w:val="auto"/>
          <w:sz w:val="32"/>
          <w:szCs w:val="32"/>
        </w:rPr>
        <w:t>%，其中：一般债务余额</w:t>
      </w:r>
      <w:r>
        <w:rPr>
          <w:rFonts w:hint="eastAsia" w:ascii="仿宋_GB2312" w:hAnsi="华文仿宋" w:eastAsia="仿宋_GB2312"/>
          <w:color w:val="auto"/>
          <w:sz w:val="32"/>
          <w:szCs w:val="32"/>
          <w:lang w:val="en-US" w:eastAsia="zh-CN"/>
        </w:rPr>
        <w:t>32.58</w:t>
      </w:r>
      <w:r>
        <w:rPr>
          <w:rFonts w:hint="eastAsia" w:ascii="仿宋_GB2312" w:hAnsi="华文仿宋" w:eastAsia="仿宋_GB2312"/>
          <w:color w:val="auto"/>
          <w:sz w:val="32"/>
          <w:szCs w:val="32"/>
        </w:rPr>
        <w:t>亿元，较上年增加2.4</w:t>
      </w:r>
      <w:r>
        <w:rPr>
          <w:rFonts w:hint="eastAsia" w:ascii="仿宋_GB2312" w:hAnsi="华文仿宋" w:eastAsia="仿宋_GB2312"/>
          <w:color w:val="auto"/>
          <w:sz w:val="32"/>
          <w:szCs w:val="32"/>
          <w:lang w:val="en-US" w:eastAsia="zh-CN"/>
        </w:rPr>
        <w:t>5</w:t>
      </w:r>
      <w:r>
        <w:rPr>
          <w:rFonts w:hint="eastAsia" w:ascii="仿宋_GB2312" w:hAnsi="华文仿宋" w:eastAsia="仿宋_GB2312"/>
          <w:color w:val="auto"/>
          <w:sz w:val="32"/>
          <w:szCs w:val="32"/>
        </w:rPr>
        <w:t>亿元（新增</w:t>
      </w:r>
      <w:r>
        <w:rPr>
          <w:rFonts w:hint="eastAsia" w:ascii="仿宋_GB2312" w:hAnsi="华文仿宋" w:eastAsia="仿宋_GB2312"/>
          <w:color w:val="auto"/>
          <w:sz w:val="32"/>
          <w:szCs w:val="32"/>
          <w:lang w:val="en-US" w:eastAsia="zh-CN"/>
        </w:rPr>
        <w:t>2.47</w:t>
      </w:r>
      <w:r>
        <w:rPr>
          <w:rFonts w:hint="eastAsia" w:ascii="仿宋_GB2312" w:hAnsi="华文仿宋" w:eastAsia="仿宋_GB2312"/>
          <w:color w:val="auto"/>
          <w:sz w:val="32"/>
          <w:szCs w:val="32"/>
        </w:rPr>
        <w:t>亿元，偿还</w:t>
      </w:r>
      <w:r>
        <w:rPr>
          <w:rFonts w:hint="eastAsia" w:ascii="仿宋_GB2312" w:hAnsi="华文仿宋" w:eastAsia="仿宋_GB2312"/>
          <w:color w:val="auto"/>
          <w:sz w:val="32"/>
          <w:szCs w:val="32"/>
          <w:lang w:val="en-US" w:eastAsia="zh-CN"/>
        </w:rPr>
        <w:t>0.02</w:t>
      </w:r>
      <w:r>
        <w:rPr>
          <w:rFonts w:hint="eastAsia" w:ascii="仿宋_GB2312" w:hAnsi="华文仿宋" w:eastAsia="仿宋_GB2312"/>
          <w:color w:val="auto"/>
          <w:sz w:val="32"/>
          <w:szCs w:val="32"/>
        </w:rPr>
        <w:t>亿元），限额使用比例</w:t>
      </w:r>
      <w:r>
        <w:rPr>
          <w:rFonts w:hint="eastAsia" w:ascii="仿宋_GB2312" w:hAnsi="华文仿宋" w:eastAsia="仿宋_GB2312"/>
          <w:color w:val="auto"/>
          <w:sz w:val="32"/>
          <w:szCs w:val="32"/>
          <w:lang w:val="en-US" w:eastAsia="zh-CN"/>
        </w:rPr>
        <w:t>96.88</w:t>
      </w:r>
      <w:r>
        <w:rPr>
          <w:rFonts w:hint="eastAsia" w:ascii="仿宋_GB2312" w:hAnsi="华文仿宋" w:eastAsia="仿宋_GB2312"/>
          <w:color w:val="auto"/>
          <w:sz w:val="32"/>
          <w:szCs w:val="32"/>
        </w:rPr>
        <w:t>%；专项债务余额</w:t>
      </w:r>
      <w:r>
        <w:rPr>
          <w:rFonts w:hint="eastAsia" w:ascii="仿宋_GB2312" w:hAnsi="华文仿宋" w:eastAsia="仿宋_GB2312"/>
          <w:color w:val="auto"/>
          <w:sz w:val="32"/>
          <w:szCs w:val="32"/>
          <w:lang w:val="en-US" w:eastAsia="zh-CN"/>
        </w:rPr>
        <w:t>23.56</w:t>
      </w:r>
      <w:r>
        <w:rPr>
          <w:rFonts w:hint="eastAsia" w:ascii="仿宋_GB2312" w:hAnsi="华文仿宋" w:eastAsia="仿宋_GB2312"/>
          <w:color w:val="auto"/>
          <w:sz w:val="32"/>
          <w:szCs w:val="32"/>
        </w:rPr>
        <w:t>亿元，较上年增加</w:t>
      </w:r>
      <w:r>
        <w:rPr>
          <w:rFonts w:hint="eastAsia" w:ascii="仿宋_GB2312" w:hAnsi="华文仿宋" w:eastAsia="仿宋_GB2312"/>
          <w:color w:val="auto"/>
          <w:sz w:val="32"/>
          <w:szCs w:val="32"/>
          <w:lang w:val="en-US" w:eastAsia="zh-CN"/>
        </w:rPr>
        <w:t>1.54</w:t>
      </w:r>
      <w:r>
        <w:rPr>
          <w:rFonts w:hint="eastAsia" w:ascii="仿宋_GB2312" w:hAnsi="华文仿宋" w:eastAsia="仿宋_GB2312"/>
          <w:color w:val="auto"/>
          <w:sz w:val="32"/>
          <w:szCs w:val="32"/>
        </w:rPr>
        <w:t>亿元（新增</w:t>
      </w:r>
      <w:r>
        <w:rPr>
          <w:rFonts w:hint="eastAsia" w:ascii="仿宋_GB2312" w:hAnsi="华文仿宋" w:eastAsia="仿宋_GB2312"/>
          <w:color w:val="auto"/>
          <w:sz w:val="32"/>
          <w:szCs w:val="32"/>
          <w:lang w:val="en-US" w:eastAsia="zh-CN"/>
        </w:rPr>
        <w:t>1.56</w:t>
      </w:r>
      <w:r>
        <w:rPr>
          <w:rFonts w:hint="eastAsia" w:ascii="仿宋_GB2312" w:hAnsi="华文仿宋" w:eastAsia="仿宋_GB2312"/>
          <w:color w:val="auto"/>
          <w:sz w:val="32"/>
          <w:szCs w:val="32"/>
        </w:rPr>
        <w:t>亿元，偿还0.</w:t>
      </w:r>
      <w:r>
        <w:rPr>
          <w:rFonts w:hint="eastAsia" w:ascii="仿宋_GB2312" w:hAnsi="华文仿宋" w:eastAsia="仿宋_GB2312"/>
          <w:color w:val="auto"/>
          <w:sz w:val="32"/>
          <w:szCs w:val="32"/>
          <w:lang w:val="en-US" w:eastAsia="zh-CN"/>
        </w:rPr>
        <w:t>02</w:t>
      </w:r>
      <w:r>
        <w:rPr>
          <w:rFonts w:hint="eastAsia" w:ascii="仿宋_GB2312" w:hAnsi="华文仿宋" w:eastAsia="仿宋_GB2312"/>
          <w:color w:val="auto"/>
          <w:sz w:val="32"/>
          <w:szCs w:val="32"/>
        </w:rPr>
        <w:t>亿元），限额使用比例</w:t>
      </w:r>
      <w:r>
        <w:rPr>
          <w:rFonts w:hint="eastAsia" w:ascii="仿宋_GB2312" w:hAnsi="华文仿宋" w:eastAsia="仿宋_GB2312"/>
          <w:color w:val="auto"/>
          <w:sz w:val="32"/>
          <w:szCs w:val="32"/>
          <w:lang w:val="en-US" w:eastAsia="zh-CN"/>
        </w:rPr>
        <w:t>97.92</w:t>
      </w:r>
      <w:r>
        <w:rPr>
          <w:rFonts w:hint="eastAsia" w:ascii="仿宋_GB2312" w:hAnsi="华文仿宋" w:eastAsia="仿宋_GB2312"/>
          <w:color w:val="auto"/>
          <w:sz w:val="32"/>
          <w:szCs w:val="32"/>
        </w:rPr>
        <w:t>%。</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三、2</w:t>
      </w:r>
      <w:r>
        <w:rPr>
          <w:rFonts w:ascii="黑体" w:hAnsi="黑体" w:eastAsia="黑体"/>
          <w:sz w:val="32"/>
          <w:szCs w:val="32"/>
        </w:rPr>
        <w:t>02</w:t>
      </w:r>
      <w:r>
        <w:rPr>
          <w:rFonts w:hint="eastAsia" w:ascii="黑体" w:hAnsi="黑体" w:eastAsia="黑体"/>
          <w:sz w:val="32"/>
          <w:szCs w:val="32"/>
          <w:lang w:val="en-US" w:eastAsia="zh-CN"/>
        </w:rPr>
        <w:t>3</w:t>
      </w:r>
      <w:r>
        <w:rPr>
          <w:rFonts w:hint="eastAsia" w:ascii="黑体" w:hAnsi="黑体" w:eastAsia="黑体"/>
          <w:sz w:val="32"/>
          <w:szCs w:val="32"/>
        </w:rPr>
        <w:t>年新增债券</w:t>
      </w:r>
      <w:r>
        <w:rPr>
          <w:rFonts w:hint="eastAsia" w:ascii="黑体" w:hAnsi="黑体" w:eastAsia="黑体"/>
          <w:sz w:val="32"/>
          <w:szCs w:val="32"/>
          <w:lang w:val="en-US" w:eastAsia="zh-CN"/>
        </w:rPr>
        <w:t>4.03</w:t>
      </w:r>
      <w:r>
        <w:rPr>
          <w:rFonts w:hint="eastAsia" w:ascii="黑体" w:hAnsi="黑体" w:eastAsia="黑体"/>
          <w:sz w:val="32"/>
          <w:szCs w:val="32"/>
        </w:rPr>
        <w:t>亿元使用情况</w:t>
      </w:r>
    </w:p>
    <w:p>
      <w:pPr>
        <w:adjustRightInd w:val="0"/>
        <w:snapToGrid w:val="0"/>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20</w:t>
      </w:r>
      <w:r>
        <w:rPr>
          <w:rFonts w:ascii="仿宋_GB2312" w:hAnsi="仿宋" w:eastAsia="仿宋_GB2312" w:cs="仿宋"/>
          <w:sz w:val="32"/>
          <w:szCs w:val="32"/>
        </w:rPr>
        <w:t>2</w:t>
      </w:r>
      <w:r>
        <w:rPr>
          <w:rFonts w:hint="eastAsia" w:ascii="仿宋_GB2312" w:hAnsi="仿宋" w:eastAsia="仿宋_GB2312" w:cs="仿宋"/>
          <w:sz w:val="32"/>
          <w:szCs w:val="32"/>
          <w:lang w:val="en-US" w:eastAsia="zh-CN"/>
        </w:rPr>
        <w:t>3</w:t>
      </w:r>
      <w:r>
        <w:rPr>
          <w:rFonts w:hint="eastAsia" w:ascii="仿宋_GB2312" w:hAnsi="仿宋" w:eastAsia="仿宋_GB2312" w:cs="仿宋"/>
          <w:sz w:val="32"/>
          <w:szCs w:val="32"/>
        </w:rPr>
        <w:t>年新增债券</w:t>
      </w:r>
      <w:r>
        <w:rPr>
          <w:rFonts w:hint="eastAsia" w:ascii="仿宋_GB2312" w:hAnsi="仿宋" w:eastAsia="仿宋_GB2312" w:cs="仿宋"/>
          <w:sz w:val="32"/>
          <w:szCs w:val="32"/>
          <w:lang w:val="en-US" w:eastAsia="zh-CN"/>
        </w:rPr>
        <w:t>4.03</w:t>
      </w:r>
      <w:r>
        <w:rPr>
          <w:rFonts w:hint="eastAsia" w:ascii="仿宋_GB2312" w:hAnsi="仿宋" w:eastAsia="仿宋_GB2312" w:cs="仿宋"/>
          <w:sz w:val="32"/>
          <w:szCs w:val="32"/>
        </w:rPr>
        <w:t>亿元，其中：新增一般债券</w:t>
      </w:r>
      <w:r>
        <w:rPr>
          <w:rFonts w:hint="eastAsia" w:ascii="仿宋_GB2312" w:hAnsi="仿宋" w:eastAsia="仿宋_GB2312" w:cs="仿宋"/>
          <w:sz w:val="32"/>
          <w:szCs w:val="32"/>
          <w:lang w:val="en-US" w:eastAsia="zh-CN"/>
        </w:rPr>
        <w:t>2.47</w:t>
      </w:r>
      <w:r>
        <w:rPr>
          <w:rFonts w:hint="eastAsia" w:ascii="仿宋_GB2312" w:hAnsi="仿宋" w:eastAsia="仿宋_GB2312" w:cs="仿宋"/>
          <w:sz w:val="32"/>
          <w:szCs w:val="32"/>
        </w:rPr>
        <w:t>亿元，专项债券</w:t>
      </w:r>
      <w:r>
        <w:rPr>
          <w:rFonts w:hint="eastAsia" w:ascii="仿宋_GB2312" w:hAnsi="仿宋" w:eastAsia="仿宋_GB2312" w:cs="仿宋"/>
          <w:sz w:val="32"/>
          <w:szCs w:val="32"/>
          <w:lang w:val="en-US" w:eastAsia="zh-CN"/>
        </w:rPr>
        <w:t>1.56</w:t>
      </w:r>
      <w:r>
        <w:rPr>
          <w:rFonts w:hint="eastAsia" w:ascii="仿宋_GB2312" w:hAnsi="仿宋" w:eastAsia="仿宋_GB2312" w:cs="仿宋"/>
          <w:sz w:val="32"/>
          <w:szCs w:val="32"/>
        </w:rPr>
        <w:t>亿元。</w:t>
      </w:r>
    </w:p>
    <w:p>
      <w:pPr>
        <w:adjustRightInd w:val="0"/>
        <w:snapToGrid w:val="0"/>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1、新增一般债券</w:t>
      </w:r>
      <w:r>
        <w:rPr>
          <w:rFonts w:hint="eastAsia" w:ascii="仿宋_GB2312" w:hAnsi="仿宋" w:eastAsia="仿宋_GB2312" w:cs="仿宋"/>
          <w:sz w:val="32"/>
          <w:szCs w:val="32"/>
          <w:lang w:val="en-US" w:eastAsia="zh-CN"/>
        </w:rPr>
        <w:t>2.47</w:t>
      </w:r>
      <w:r>
        <w:rPr>
          <w:rFonts w:hint="eastAsia" w:ascii="仿宋_GB2312" w:hAnsi="仿宋" w:eastAsia="仿宋_GB2312" w:cs="仿宋"/>
          <w:sz w:val="32"/>
          <w:szCs w:val="32"/>
        </w:rPr>
        <w:t>亿元，指定用于市政建设项目</w:t>
      </w:r>
      <w:r>
        <w:rPr>
          <w:rFonts w:hint="eastAsia" w:ascii="仿宋_GB2312" w:hAnsi="仿宋" w:eastAsia="仿宋_GB2312" w:cs="仿宋"/>
          <w:sz w:val="32"/>
          <w:szCs w:val="32"/>
          <w:lang w:val="en-US" w:eastAsia="zh-CN"/>
        </w:rPr>
        <w:t>5个0.6</w:t>
      </w:r>
      <w:r>
        <w:rPr>
          <w:rFonts w:hint="eastAsia" w:ascii="仿宋_GB2312" w:hAnsi="仿宋" w:eastAsia="仿宋_GB2312" w:cs="仿宋"/>
          <w:sz w:val="32"/>
          <w:szCs w:val="32"/>
        </w:rPr>
        <w:t>亿元</w:t>
      </w:r>
      <w:r>
        <w:rPr>
          <w:rFonts w:hint="eastAsia" w:ascii="仿宋_GB2312" w:hAnsi="仿宋" w:eastAsia="仿宋_GB2312" w:cs="仿宋"/>
          <w:sz w:val="32"/>
          <w:szCs w:val="32"/>
          <w:lang w:eastAsia="zh-CN"/>
        </w:rPr>
        <w:t>；公路项目</w:t>
      </w:r>
      <w:r>
        <w:rPr>
          <w:rFonts w:hint="eastAsia" w:ascii="仿宋_GB2312" w:hAnsi="仿宋" w:eastAsia="仿宋_GB2312" w:cs="仿宋"/>
          <w:sz w:val="32"/>
          <w:szCs w:val="32"/>
          <w:lang w:val="en-US" w:eastAsia="zh-CN"/>
        </w:rPr>
        <w:t>5个0.77亿元；保障性住房项目2个0.07亿元；生态建设和环境保护项目8个0.43亿元；教育项目1个0.05亿元；文化项目1个0.07亿元；社会保障项目2个0.10亿元；农林水利建设项目3个0.08亿元；能源基础设施项目3个0.30亿元。</w:t>
      </w:r>
    </w:p>
    <w:p>
      <w:pPr>
        <w:adjustRightInd w:val="0"/>
        <w:snapToGrid w:val="0"/>
        <w:spacing w:line="560" w:lineRule="exact"/>
        <w:ind w:firstLine="640" w:firstLineChars="200"/>
        <w:rPr>
          <w:rFonts w:hint="default" w:ascii="仿宋_GB2312" w:hAnsi="仿宋" w:eastAsia="仿宋_GB2312" w:cs="仿宋"/>
          <w:sz w:val="32"/>
          <w:szCs w:val="32"/>
          <w:lang w:val="en-US" w:eastAsia="zh-CN"/>
        </w:rPr>
      </w:pPr>
      <w:r>
        <w:rPr>
          <w:rFonts w:hint="eastAsia" w:ascii="仿宋_GB2312" w:hAnsi="仿宋" w:eastAsia="仿宋_GB2312" w:cs="仿宋"/>
          <w:sz w:val="32"/>
          <w:szCs w:val="32"/>
        </w:rPr>
        <w:t>2、新增专项债券项目</w:t>
      </w:r>
      <w:r>
        <w:rPr>
          <w:rFonts w:hint="eastAsia" w:ascii="仿宋_GB2312" w:hAnsi="仿宋" w:eastAsia="仿宋_GB2312" w:cs="仿宋"/>
          <w:sz w:val="32"/>
          <w:szCs w:val="32"/>
          <w:lang w:val="en-US" w:eastAsia="zh-CN"/>
        </w:rPr>
        <w:t>1.56</w:t>
      </w:r>
      <w:r>
        <w:rPr>
          <w:rFonts w:hint="eastAsia" w:ascii="仿宋_GB2312" w:hAnsi="仿宋" w:eastAsia="仿宋_GB2312" w:cs="仿宋"/>
          <w:sz w:val="32"/>
          <w:szCs w:val="32"/>
        </w:rPr>
        <w:t>亿元，指定用于教育体育建设项目1个</w:t>
      </w:r>
      <w:r>
        <w:rPr>
          <w:rFonts w:hint="eastAsia" w:ascii="仿宋_GB2312" w:hAnsi="仿宋" w:eastAsia="仿宋_GB2312" w:cs="仿宋"/>
          <w:sz w:val="32"/>
          <w:szCs w:val="32"/>
          <w:lang w:val="en-US" w:eastAsia="zh-CN"/>
        </w:rPr>
        <w:t>0.1</w:t>
      </w:r>
      <w:r>
        <w:rPr>
          <w:rFonts w:hint="eastAsia" w:ascii="仿宋_GB2312" w:hAnsi="仿宋" w:eastAsia="仿宋_GB2312" w:cs="仿宋"/>
          <w:sz w:val="32"/>
          <w:szCs w:val="32"/>
        </w:rPr>
        <w:t>亿元；医疗卫生建设项目</w:t>
      </w: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个</w:t>
      </w:r>
      <w:r>
        <w:rPr>
          <w:rFonts w:hint="eastAsia" w:ascii="仿宋_GB2312" w:hAnsi="仿宋" w:eastAsia="仿宋_GB2312" w:cs="仿宋"/>
          <w:sz w:val="32"/>
          <w:szCs w:val="32"/>
          <w:lang w:val="en-US" w:eastAsia="zh-CN"/>
        </w:rPr>
        <w:t>0.32</w:t>
      </w:r>
      <w:r>
        <w:rPr>
          <w:rFonts w:hint="eastAsia" w:ascii="仿宋_GB2312" w:hAnsi="仿宋" w:eastAsia="仿宋_GB2312" w:cs="仿宋"/>
          <w:sz w:val="32"/>
          <w:szCs w:val="32"/>
        </w:rPr>
        <w:t>亿元；</w:t>
      </w:r>
      <w:r>
        <w:rPr>
          <w:rFonts w:hint="eastAsia" w:ascii="仿宋_GB2312" w:hAnsi="仿宋" w:eastAsia="仿宋_GB2312" w:cs="仿宋"/>
          <w:sz w:val="32"/>
          <w:szCs w:val="32"/>
          <w:lang w:eastAsia="zh-CN"/>
        </w:rPr>
        <w:t>偿还存量债务项目</w:t>
      </w:r>
      <w:r>
        <w:rPr>
          <w:rFonts w:hint="eastAsia" w:ascii="仿宋_GB2312" w:hAnsi="仿宋" w:eastAsia="仿宋_GB2312" w:cs="仿宋"/>
          <w:sz w:val="32"/>
          <w:szCs w:val="32"/>
          <w:lang w:val="en-US" w:eastAsia="zh-CN"/>
        </w:rPr>
        <w:t>2个1.14亿元。</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四、202</w:t>
      </w:r>
      <w:r>
        <w:rPr>
          <w:rFonts w:hint="eastAsia" w:ascii="黑体" w:hAnsi="黑体" w:eastAsia="黑体"/>
          <w:sz w:val="32"/>
          <w:szCs w:val="32"/>
          <w:lang w:val="en-US" w:eastAsia="zh-CN"/>
        </w:rPr>
        <w:t>3</w:t>
      </w:r>
      <w:r>
        <w:rPr>
          <w:rFonts w:hint="eastAsia" w:ascii="黑体" w:hAnsi="黑体" w:eastAsia="黑体"/>
          <w:sz w:val="32"/>
          <w:szCs w:val="32"/>
        </w:rPr>
        <w:t>年到期债券本金偿还及再融资情况。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年当年到期债务本息</w:t>
      </w:r>
      <w:r>
        <w:rPr>
          <w:rFonts w:hint="eastAsia" w:ascii="仿宋_GB2312" w:eastAsia="仿宋_GB2312"/>
          <w:sz w:val="32"/>
          <w:szCs w:val="32"/>
          <w:lang w:val="en-US" w:eastAsia="zh-CN"/>
        </w:rPr>
        <w:t>6.39</w:t>
      </w:r>
      <w:r>
        <w:rPr>
          <w:rFonts w:hint="eastAsia" w:ascii="仿宋_GB2312" w:eastAsia="仿宋_GB2312"/>
          <w:sz w:val="32"/>
          <w:szCs w:val="32"/>
        </w:rPr>
        <w:t>亿元，其中：到期债券本金</w:t>
      </w:r>
      <w:r>
        <w:rPr>
          <w:rFonts w:hint="eastAsia" w:ascii="仿宋_GB2312" w:eastAsia="仿宋_GB2312"/>
          <w:sz w:val="32"/>
          <w:szCs w:val="32"/>
          <w:lang w:val="en-US" w:eastAsia="zh-CN"/>
        </w:rPr>
        <w:t>4.57</w:t>
      </w:r>
      <w:r>
        <w:rPr>
          <w:rFonts w:hint="eastAsia" w:ascii="仿宋_GB2312" w:eastAsia="仿宋_GB2312"/>
          <w:sz w:val="32"/>
          <w:szCs w:val="32"/>
        </w:rPr>
        <w:t>亿元（一般债券</w:t>
      </w:r>
      <w:r>
        <w:rPr>
          <w:rFonts w:hint="eastAsia" w:ascii="仿宋_GB2312" w:eastAsia="仿宋_GB2312"/>
          <w:sz w:val="32"/>
          <w:szCs w:val="32"/>
          <w:lang w:val="en-US" w:eastAsia="zh-CN"/>
        </w:rPr>
        <w:t>2.3</w:t>
      </w:r>
      <w:r>
        <w:rPr>
          <w:rFonts w:hint="eastAsia" w:ascii="仿宋_GB2312" w:eastAsia="仿宋_GB2312"/>
          <w:sz w:val="32"/>
          <w:szCs w:val="32"/>
        </w:rPr>
        <w:t>亿元，专项债券</w:t>
      </w:r>
      <w:r>
        <w:rPr>
          <w:rFonts w:hint="eastAsia" w:ascii="仿宋_GB2312" w:eastAsia="仿宋_GB2312"/>
          <w:sz w:val="32"/>
          <w:szCs w:val="32"/>
          <w:lang w:val="en-US" w:eastAsia="zh-CN"/>
        </w:rPr>
        <w:t>2.28</w:t>
      </w:r>
      <w:r>
        <w:rPr>
          <w:rFonts w:hint="eastAsia" w:ascii="仿宋_GB2312" w:eastAsia="仿宋_GB2312"/>
          <w:sz w:val="32"/>
          <w:szCs w:val="32"/>
        </w:rPr>
        <w:t>亿元），到期利息</w:t>
      </w:r>
      <w:r>
        <w:rPr>
          <w:rFonts w:hint="eastAsia" w:ascii="仿宋_GB2312" w:eastAsia="仿宋_GB2312"/>
          <w:sz w:val="32"/>
          <w:szCs w:val="32"/>
          <w:lang w:val="en-US" w:eastAsia="zh-CN"/>
        </w:rPr>
        <w:t>1.82</w:t>
      </w:r>
      <w:r>
        <w:rPr>
          <w:rFonts w:hint="eastAsia" w:ascii="仿宋_GB2312" w:eastAsia="仿宋_GB2312"/>
          <w:sz w:val="32"/>
          <w:szCs w:val="32"/>
        </w:rPr>
        <w:t>亿元。到期债券再融资</w:t>
      </w:r>
      <w:r>
        <w:rPr>
          <w:rFonts w:hint="eastAsia" w:ascii="仿宋_GB2312" w:eastAsia="仿宋_GB2312"/>
          <w:sz w:val="32"/>
          <w:szCs w:val="32"/>
          <w:lang w:val="en-US" w:eastAsia="zh-CN"/>
        </w:rPr>
        <w:t>4.54</w:t>
      </w:r>
      <w:r>
        <w:rPr>
          <w:rFonts w:hint="eastAsia" w:ascii="仿宋_GB2312" w:eastAsia="仿宋_GB2312"/>
          <w:sz w:val="32"/>
          <w:szCs w:val="32"/>
        </w:rPr>
        <w:t>亿元，其中，一般债券再融资</w:t>
      </w:r>
      <w:r>
        <w:rPr>
          <w:rFonts w:hint="eastAsia" w:ascii="仿宋_GB2312" w:eastAsia="仿宋_GB2312"/>
          <w:sz w:val="32"/>
          <w:szCs w:val="32"/>
          <w:lang w:val="en-US" w:eastAsia="zh-CN"/>
        </w:rPr>
        <w:t>2.28</w:t>
      </w:r>
      <w:r>
        <w:rPr>
          <w:rFonts w:hint="eastAsia" w:ascii="仿宋_GB2312" w:eastAsia="仿宋_GB2312"/>
          <w:sz w:val="32"/>
          <w:szCs w:val="32"/>
        </w:rPr>
        <w:t>亿元，专项债券再融资2.</w:t>
      </w:r>
      <w:r>
        <w:rPr>
          <w:rFonts w:hint="eastAsia" w:ascii="仿宋_GB2312" w:eastAsia="仿宋_GB2312"/>
          <w:sz w:val="32"/>
          <w:szCs w:val="32"/>
          <w:lang w:val="en-US" w:eastAsia="zh-CN"/>
        </w:rPr>
        <w:t>26</w:t>
      </w:r>
      <w:r>
        <w:rPr>
          <w:rFonts w:hint="eastAsia" w:ascii="仿宋_GB2312" w:eastAsia="仿宋_GB2312"/>
          <w:sz w:val="32"/>
          <w:szCs w:val="32"/>
        </w:rPr>
        <w:t>亿元。县财政实际偿还本金</w:t>
      </w:r>
      <w:r>
        <w:rPr>
          <w:rFonts w:ascii="仿宋_GB2312" w:eastAsia="仿宋_GB2312"/>
          <w:sz w:val="32"/>
          <w:szCs w:val="32"/>
        </w:rPr>
        <w:t>0.</w:t>
      </w:r>
      <w:r>
        <w:rPr>
          <w:rFonts w:hint="eastAsia" w:ascii="仿宋_GB2312" w:eastAsia="仿宋_GB2312"/>
          <w:sz w:val="32"/>
          <w:szCs w:val="32"/>
          <w:lang w:val="en-US" w:eastAsia="zh-CN"/>
        </w:rPr>
        <w:t>0342</w:t>
      </w:r>
      <w:r>
        <w:rPr>
          <w:rFonts w:hint="eastAsia" w:ascii="仿宋_GB2312" w:eastAsia="仿宋_GB2312"/>
          <w:sz w:val="32"/>
          <w:szCs w:val="32"/>
        </w:rPr>
        <w:t>亿元（一般债券</w:t>
      </w:r>
      <w:r>
        <w:rPr>
          <w:rFonts w:ascii="仿宋_GB2312" w:eastAsia="仿宋_GB2312"/>
          <w:sz w:val="32"/>
          <w:szCs w:val="32"/>
        </w:rPr>
        <w:t>0.</w:t>
      </w:r>
      <w:r>
        <w:rPr>
          <w:rFonts w:hint="eastAsia" w:ascii="仿宋_GB2312" w:eastAsia="仿宋_GB2312"/>
          <w:sz w:val="32"/>
          <w:szCs w:val="32"/>
          <w:lang w:val="en-US" w:eastAsia="zh-CN"/>
        </w:rPr>
        <w:t>0178</w:t>
      </w:r>
      <w:r>
        <w:rPr>
          <w:rFonts w:hint="eastAsia" w:ascii="仿宋_GB2312" w:eastAsia="仿宋_GB2312"/>
          <w:sz w:val="32"/>
          <w:szCs w:val="32"/>
        </w:rPr>
        <w:t>亿元，专项债券</w:t>
      </w:r>
      <w:r>
        <w:rPr>
          <w:rFonts w:ascii="仿宋_GB2312" w:eastAsia="仿宋_GB2312"/>
          <w:sz w:val="32"/>
          <w:szCs w:val="32"/>
        </w:rPr>
        <w:t>0</w:t>
      </w:r>
      <w:r>
        <w:rPr>
          <w:rFonts w:hint="eastAsia" w:ascii="仿宋_GB2312" w:eastAsia="仿宋_GB2312"/>
          <w:sz w:val="32"/>
          <w:szCs w:val="32"/>
          <w:lang w:val="en-US" w:eastAsia="zh-CN"/>
        </w:rPr>
        <w:t>.0164</w:t>
      </w:r>
      <w:r>
        <w:rPr>
          <w:rFonts w:hint="eastAsia" w:ascii="仿宋_GB2312" w:eastAsia="仿宋_GB2312"/>
          <w:sz w:val="32"/>
          <w:szCs w:val="32"/>
        </w:rPr>
        <w:t>亿元）。</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五、20</w:t>
      </w:r>
      <w:r>
        <w:rPr>
          <w:rFonts w:ascii="黑体" w:hAnsi="黑体" w:eastAsia="黑体"/>
          <w:sz w:val="32"/>
          <w:szCs w:val="32"/>
        </w:rPr>
        <w:t>2</w:t>
      </w:r>
      <w:r>
        <w:rPr>
          <w:rFonts w:hint="eastAsia" w:ascii="黑体" w:hAnsi="黑体" w:eastAsia="黑体"/>
          <w:sz w:val="32"/>
          <w:szCs w:val="32"/>
          <w:lang w:val="en-US" w:eastAsia="zh-CN"/>
        </w:rPr>
        <w:t>3</w:t>
      </w:r>
      <w:r>
        <w:rPr>
          <w:rFonts w:hint="eastAsia" w:ascii="黑体" w:hAnsi="黑体" w:eastAsia="黑体"/>
          <w:sz w:val="32"/>
          <w:szCs w:val="32"/>
        </w:rPr>
        <w:t>年债务管理情况</w:t>
      </w:r>
    </w:p>
    <w:p>
      <w:pPr>
        <w:adjustRightInd w:val="0"/>
        <w:snapToGrid w:val="0"/>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（一）新增债券资金的管理工作开展情况</w:t>
      </w:r>
    </w:p>
    <w:p>
      <w:pPr>
        <w:adjustRightInd w:val="0"/>
        <w:snapToGrid w:val="0"/>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1、对使用债券资金的项目单位进行自查，加快新增债券支出进度。</w:t>
      </w:r>
    </w:p>
    <w:p>
      <w:pPr>
        <w:adjustRightInd w:val="0"/>
        <w:snapToGri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根据河北省财政厅《关于做好2023年地方政府专项债券支出使用有关工作的通知》（冀财债〔2023〕38号）、河北省财政厅、河北省发展和改革委员会《印发关于进一步加强专项债券项目和资金管理11条措施的通知》（冀财债〔2023〕64号）及河北省财政厅《关于做好2022年政府专项债券资金使用管理情况核查整改工作的通知》（冀财债〔2023〕22号）要求，针对实际情况下达文件对项目主管单位逐一核查，确保资金使用符合要求，督促项目单位加快工程进度，按申报债券的工程进度按时拨付资金，尽快形成实物工程量。同时县政府专题调度等方式，督促项目主管部门加快办理相关手续，早日形成支出。</w:t>
      </w:r>
    </w:p>
    <w:p>
      <w:pPr>
        <w:adjustRightInd w:val="0"/>
        <w:snapToGrid w:val="0"/>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2、加强债券资金使用单位的监管，确保债券资金不被截留、挤占和挪用，不用于经常性支出。</w:t>
      </w:r>
    </w:p>
    <w:p>
      <w:pPr>
        <w:adjustRightInd w:val="0"/>
        <w:snapToGrid w:val="0"/>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（二）政府债务风险防范化解工作开展情况</w:t>
      </w:r>
    </w:p>
    <w:p>
      <w:pPr>
        <w:adjustRightInd w:val="0"/>
        <w:snapToGrid w:val="0"/>
        <w:spacing w:line="560" w:lineRule="exact"/>
        <w:ind w:firstLine="646"/>
        <w:rPr>
          <w:rFonts w:ascii="仿宋_GB2312" w:eastAsia="仿宋_GB2312"/>
          <w:sz w:val="32"/>
          <w:szCs w:val="32"/>
        </w:rPr>
      </w:pPr>
      <w:r>
        <w:rPr>
          <w:rFonts w:hint="eastAsia" w:ascii="仿宋_GB2312" w:eastAsia="仿宋_GB2312"/>
          <w:sz w:val="32"/>
          <w:szCs w:val="32"/>
        </w:rPr>
        <w:t>1、严格落实隐性债务化解方案，督促债务单位按时化解隐性存量债务，坚决避免群体性债务风险事件发生。</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按照年度政府债务还本规模及上级政府债券借新还旧有关政策，足额争取申报上级再融资债券，在原有再融资政策的基础上，为缓解了我县财政压力，又争取了到期新增专项债券再融资2.26亿元。政府债务还本付息支出列入年初预算，顺利通过省财政厅前置审核。政府债务收支情况经县人大常委会批复，全部列入年度调整预算。</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3、2023年重新成立了隆化县防范化解债务风险领导小组，明确领导小组主要职责及分工。通过跟踪、监测、分析、评估债务数据，定期排查政府性债务风险隐患，监督债务管理工作推进情况。建立长效管控机制，采取拓宽财源渠道、优化支出结构、加强预算审核和改进财政管理等措施，确保不发生政府性债务风险。</w:t>
      </w:r>
    </w:p>
    <w:p>
      <w:pPr>
        <w:adjustRightInd w:val="0"/>
        <w:snapToGrid w:val="0"/>
        <w:spacing w:line="560" w:lineRule="exact"/>
        <w:ind w:firstLine="640" w:firstLineChars="200"/>
        <w:rPr>
          <w:rFonts w:ascii="仿宋_GB2312" w:hAnsi="黑体" w:eastAsia="仿宋_GB2312"/>
          <w:sz w:val="32"/>
          <w:szCs w:val="32"/>
        </w:rPr>
      </w:pPr>
      <w:r>
        <w:rPr>
          <w:rFonts w:hint="eastAsia" w:ascii="仿宋_GB2312" w:eastAsia="仿宋_GB2312"/>
          <w:sz w:val="32"/>
          <w:szCs w:val="32"/>
        </w:rPr>
        <w:t>4、为防范和化解债务风险，严控单位举债行为，根据河北省政府性债务管理领导小组办公室《关于开展2023年隐性债务风险防范化解工作“回头看”的通知》（冀政债办函〔2023〕11号）和相关上级文件精神，隆化县政府性债务管理领导小组办公室对全县所有单位债务情况进行多次实地核查及在“监测平台”系统线上审查，确保不出现系统性、区域性债务风险。</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六、2024工作计划</w:t>
      </w:r>
    </w:p>
    <w:p>
      <w:pPr>
        <w:adjustRightInd w:val="0"/>
        <w:snapToGrid w:val="0"/>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（一）重新细化隐性债务化解方案。</w:t>
      </w:r>
      <w:r>
        <w:rPr>
          <w:rFonts w:hint="eastAsia" w:ascii="仿宋_GB2312" w:hAnsi="黑体" w:eastAsia="仿宋_GB2312"/>
          <w:sz w:val="32"/>
          <w:szCs w:val="32"/>
        </w:rPr>
        <w:t>根据省市工作要求，我县对财政部监测平台隐性债务化解计划进行重新细化，争取2028年之前全部化解完成。督促债务单位按时化解隐性存量债务，坚决避免群体性债务风险事件发生。</w:t>
      </w:r>
    </w:p>
    <w:p>
      <w:pPr>
        <w:adjustRightInd w:val="0"/>
        <w:snapToGrid w:val="0"/>
        <w:spacing w:line="560" w:lineRule="exact"/>
        <w:ind w:firstLine="643" w:firstLineChars="200"/>
        <w:rPr>
          <w:rFonts w:ascii="仿宋_GB2312" w:hAnsi="黑体" w:eastAsia="仿宋_GB2312"/>
          <w:sz w:val="32"/>
          <w:szCs w:val="32"/>
        </w:rPr>
      </w:pPr>
      <w:r>
        <w:rPr>
          <w:rFonts w:hint="eastAsia" w:ascii="楷体_GB2312" w:hAnsi="黑体" w:eastAsia="楷体_GB2312"/>
          <w:b/>
          <w:sz w:val="32"/>
          <w:szCs w:val="32"/>
        </w:rPr>
        <w:t>（二）研究制定债券资金支出督导机制。</w:t>
      </w:r>
      <w:r>
        <w:rPr>
          <w:rFonts w:hint="eastAsia" w:ascii="仿宋_GB2312" w:hAnsi="黑体" w:eastAsia="仿宋_GB2312"/>
          <w:sz w:val="32"/>
          <w:szCs w:val="32"/>
        </w:rPr>
        <w:t>及时了解安排债券资金的项目实施进展情况，督促债务单位抓紧时间支出以前年度新增债券资金，形成实物工作量。</w:t>
      </w:r>
    </w:p>
    <w:p>
      <w:pPr>
        <w:adjustRightInd w:val="0"/>
        <w:snapToGrid w:val="0"/>
        <w:spacing w:line="560" w:lineRule="exact"/>
        <w:ind w:firstLine="643" w:firstLineChars="200"/>
        <w:rPr>
          <w:rFonts w:hint="eastAsia" w:ascii="仿宋_GB2312" w:hAnsi="黑体" w:eastAsia="仿宋_GB2312"/>
          <w:sz w:val="32"/>
          <w:szCs w:val="32"/>
          <w:lang w:eastAsia="zh-CN"/>
        </w:rPr>
      </w:pPr>
      <w:r>
        <w:rPr>
          <w:rFonts w:hint="eastAsia" w:ascii="楷体_GB2312" w:hAnsi="黑体" w:eastAsia="楷体_GB2312"/>
          <w:b/>
          <w:sz w:val="32"/>
          <w:szCs w:val="32"/>
        </w:rPr>
        <w:t>（三）提前部署2024年新增政府债券申报工作。</w:t>
      </w:r>
      <w:r>
        <w:rPr>
          <w:rFonts w:hint="eastAsia" w:ascii="仿宋_GB2312" w:hAnsi="黑体" w:eastAsia="仿宋_GB2312"/>
          <w:sz w:val="32"/>
          <w:szCs w:val="32"/>
        </w:rPr>
        <w:t>为增加债券项目的成熟度和财政、发改双通过率，我县自2023年8月份就开始召开协调会，筹备2024年债券项目的储备工作，督促项目单位提前准备及完善项目相关手续及资料，常态化储备债券项目</w:t>
      </w:r>
      <w:r>
        <w:rPr>
          <w:rFonts w:hint="eastAsia" w:ascii="仿宋_GB2312" w:hAnsi="黑体" w:eastAsia="仿宋_GB2312"/>
          <w:sz w:val="32"/>
          <w:szCs w:val="32"/>
          <w:lang w:eastAsia="zh-CN"/>
        </w:rPr>
        <w:t>。</w:t>
      </w:r>
      <w:bookmarkStart w:id="0" w:name="_GoBack"/>
      <w:bookmarkEnd w:id="0"/>
    </w:p>
    <w:p>
      <w:pPr>
        <w:adjustRightInd w:val="0"/>
        <w:snapToGrid w:val="0"/>
        <w:spacing w:line="560" w:lineRule="exact"/>
        <w:ind w:firstLine="4800" w:firstLineChars="1500"/>
        <w:rPr>
          <w:rFonts w:ascii="仿宋_GB2312" w:eastAsia="仿宋_GB2312" w:hAnsiTheme="minorEastAsia"/>
          <w:color w:val="000000" w:themeColor="text1"/>
          <w:sz w:val="32"/>
          <w:szCs w:val="32"/>
          <w:shd w:val="clear" w:color="auto" w:fill="FFFFFF"/>
          <w14:textFill>
            <w14:solidFill>
              <w14:schemeClr w14:val="tx1"/>
            </w14:solidFill>
          </w14:textFill>
        </w:rPr>
      </w:pPr>
    </w:p>
    <w:sectPr>
      <w:headerReference r:id="rId3" w:type="default"/>
      <w:pgSz w:w="11906" w:h="16838"/>
      <w:pgMar w:top="1418" w:right="1588"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iMTEwMTFhNGE0ZTc5NjUxYjBjODdkNWZkNzJhZWUifQ=="/>
  </w:docVars>
  <w:rsids>
    <w:rsidRoot w:val="003014C5"/>
    <w:rsid w:val="00042C58"/>
    <w:rsid w:val="00056BF2"/>
    <w:rsid w:val="00075369"/>
    <w:rsid w:val="00082AD0"/>
    <w:rsid w:val="000A18E7"/>
    <w:rsid w:val="000B6C2C"/>
    <w:rsid w:val="000B7624"/>
    <w:rsid w:val="000C370C"/>
    <w:rsid w:val="00111DCF"/>
    <w:rsid w:val="00134802"/>
    <w:rsid w:val="00136CB5"/>
    <w:rsid w:val="001416E3"/>
    <w:rsid w:val="001678B6"/>
    <w:rsid w:val="00171A2F"/>
    <w:rsid w:val="001A59C9"/>
    <w:rsid w:val="001C06B7"/>
    <w:rsid w:val="001E38D4"/>
    <w:rsid w:val="00223B80"/>
    <w:rsid w:val="002A4B50"/>
    <w:rsid w:val="002A5104"/>
    <w:rsid w:val="002B5440"/>
    <w:rsid w:val="002B6667"/>
    <w:rsid w:val="002E5DAE"/>
    <w:rsid w:val="003014C5"/>
    <w:rsid w:val="00346C20"/>
    <w:rsid w:val="00350358"/>
    <w:rsid w:val="00364C47"/>
    <w:rsid w:val="0038016B"/>
    <w:rsid w:val="00394993"/>
    <w:rsid w:val="003A3D72"/>
    <w:rsid w:val="003D390E"/>
    <w:rsid w:val="00402221"/>
    <w:rsid w:val="004063D7"/>
    <w:rsid w:val="00446807"/>
    <w:rsid w:val="00472161"/>
    <w:rsid w:val="0047773B"/>
    <w:rsid w:val="00480483"/>
    <w:rsid w:val="004C37B4"/>
    <w:rsid w:val="004F76EF"/>
    <w:rsid w:val="005058AD"/>
    <w:rsid w:val="00505A25"/>
    <w:rsid w:val="00547B65"/>
    <w:rsid w:val="0056248D"/>
    <w:rsid w:val="00572C07"/>
    <w:rsid w:val="005A150C"/>
    <w:rsid w:val="005D1654"/>
    <w:rsid w:val="005E695F"/>
    <w:rsid w:val="005F61E8"/>
    <w:rsid w:val="0060045F"/>
    <w:rsid w:val="0061010F"/>
    <w:rsid w:val="00683145"/>
    <w:rsid w:val="006B21B7"/>
    <w:rsid w:val="006C2E56"/>
    <w:rsid w:val="006F274F"/>
    <w:rsid w:val="00720064"/>
    <w:rsid w:val="00740AE3"/>
    <w:rsid w:val="00743B5C"/>
    <w:rsid w:val="00744EC1"/>
    <w:rsid w:val="0078026F"/>
    <w:rsid w:val="00780B41"/>
    <w:rsid w:val="007A64BD"/>
    <w:rsid w:val="00805FE1"/>
    <w:rsid w:val="00813B65"/>
    <w:rsid w:val="00834B6D"/>
    <w:rsid w:val="0084256F"/>
    <w:rsid w:val="00846A03"/>
    <w:rsid w:val="008C42A8"/>
    <w:rsid w:val="008D4B46"/>
    <w:rsid w:val="008E7ABF"/>
    <w:rsid w:val="00952BE8"/>
    <w:rsid w:val="00956438"/>
    <w:rsid w:val="00962B00"/>
    <w:rsid w:val="009D6D13"/>
    <w:rsid w:val="009F7A46"/>
    <w:rsid w:val="00A514B1"/>
    <w:rsid w:val="00AA260C"/>
    <w:rsid w:val="00AB2127"/>
    <w:rsid w:val="00AC0EDF"/>
    <w:rsid w:val="00AD2804"/>
    <w:rsid w:val="00AF4E92"/>
    <w:rsid w:val="00B90591"/>
    <w:rsid w:val="00BA0B2D"/>
    <w:rsid w:val="00BF493E"/>
    <w:rsid w:val="00C138AB"/>
    <w:rsid w:val="00C925EE"/>
    <w:rsid w:val="00CB5CE5"/>
    <w:rsid w:val="00CF1EE8"/>
    <w:rsid w:val="00E02203"/>
    <w:rsid w:val="00E212A2"/>
    <w:rsid w:val="00EA61E2"/>
    <w:rsid w:val="00EA62C8"/>
    <w:rsid w:val="00EC4573"/>
    <w:rsid w:val="00ED6B5B"/>
    <w:rsid w:val="00EE4B82"/>
    <w:rsid w:val="00F00F61"/>
    <w:rsid w:val="00F306A1"/>
    <w:rsid w:val="00F62422"/>
    <w:rsid w:val="00F7327A"/>
    <w:rsid w:val="00F81B6B"/>
    <w:rsid w:val="00FB17B6"/>
    <w:rsid w:val="00FF1FE8"/>
    <w:rsid w:val="00FF248D"/>
    <w:rsid w:val="02A36C44"/>
    <w:rsid w:val="03355BD3"/>
    <w:rsid w:val="035B0116"/>
    <w:rsid w:val="043B4291"/>
    <w:rsid w:val="06E31D05"/>
    <w:rsid w:val="07F67CA2"/>
    <w:rsid w:val="08561AC9"/>
    <w:rsid w:val="08562EA1"/>
    <w:rsid w:val="0980684D"/>
    <w:rsid w:val="0A7D516B"/>
    <w:rsid w:val="0ACE1B5D"/>
    <w:rsid w:val="0C476893"/>
    <w:rsid w:val="0DF50570"/>
    <w:rsid w:val="0FCE6C21"/>
    <w:rsid w:val="12CA19B5"/>
    <w:rsid w:val="14AA60ED"/>
    <w:rsid w:val="16135A37"/>
    <w:rsid w:val="189C0982"/>
    <w:rsid w:val="19AF7293"/>
    <w:rsid w:val="1B94321A"/>
    <w:rsid w:val="1C4242FF"/>
    <w:rsid w:val="1C7E19F6"/>
    <w:rsid w:val="1E303662"/>
    <w:rsid w:val="1F0776F5"/>
    <w:rsid w:val="1F67159E"/>
    <w:rsid w:val="1F972C71"/>
    <w:rsid w:val="218E0668"/>
    <w:rsid w:val="21F765EE"/>
    <w:rsid w:val="238B4E5F"/>
    <w:rsid w:val="248977DE"/>
    <w:rsid w:val="252F1C88"/>
    <w:rsid w:val="2758774E"/>
    <w:rsid w:val="27B0247E"/>
    <w:rsid w:val="296C4F48"/>
    <w:rsid w:val="2AB63109"/>
    <w:rsid w:val="2B465570"/>
    <w:rsid w:val="2C7755B8"/>
    <w:rsid w:val="2D126B9F"/>
    <w:rsid w:val="3095731D"/>
    <w:rsid w:val="30AC4667"/>
    <w:rsid w:val="319F7354"/>
    <w:rsid w:val="33B65B9E"/>
    <w:rsid w:val="33D53B72"/>
    <w:rsid w:val="341449FD"/>
    <w:rsid w:val="35AB133E"/>
    <w:rsid w:val="360E263D"/>
    <w:rsid w:val="3678662D"/>
    <w:rsid w:val="36C263DC"/>
    <w:rsid w:val="3736112E"/>
    <w:rsid w:val="3A4606E3"/>
    <w:rsid w:val="3A4F7CF4"/>
    <w:rsid w:val="3AD958C8"/>
    <w:rsid w:val="3C21415B"/>
    <w:rsid w:val="3D6562C9"/>
    <w:rsid w:val="3D980375"/>
    <w:rsid w:val="3DB50FFF"/>
    <w:rsid w:val="3E6D3465"/>
    <w:rsid w:val="43D2242F"/>
    <w:rsid w:val="46E878B4"/>
    <w:rsid w:val="4791382C"/>
    <w:rsid w:val="47A42D8A"/>
    <w:rsid w:val="49567B4E"/>
    <w:rsid w:val="497E2B42"/>
    <w:rsid w:val="498C682C"/>
    <w:rsid w:val="49E3340D"/>
    <w:rsid w:val="4A62250E"/>
    <w:rsid w:val="4AD056CA"/>
    <w:rsid w:val="4C522FDC"/>
    <w:rsid w:val="4CA92473"/>
    <w:rsid w:val="4E5008D0"/>
    <w:rsid w:val="4F8A74F2"/>
    <w:rsid w:val="4FD72B23"/>
    <w:rsid w:val="537A2677"/>
    <w:rsid w:val="543071D9"/>
    <w:rsid w:val="54EA4DF8"/>
    <w:rsid w:val="55524F2D"/>
    <w:rsid w:val="56FC3325"/>
    <w:rsid w:val="572D4B3A"/>
    <w:rsid w:val="57452F9B"/>
    <w:rsid w:val="576F6AB6"/>
    <w:rsid w:val="58C779E0"/>
    <w:rsid w:val="59701EDF"/>
    <w:rsid w:val="5BA20FB6"/>
    <w:rsid w:val="5BE452FA"/>
    <w:rsid w:val="5D107BA8"/>
    <w:rsid w:val="5E4A2CDD"/>
    <w:rsid w:val="5F061262"/>
    <w:rsid w:val="60DC0D5B"/>
    <w:rsid w:val="63931944"/>
    <w:rsid w:val="640D6BEF"/>
    <w:rsid w:val="64E21E2A"/>
    <w:rsid w:val="664E395F"/>
    <w:rsid w:val="66560AC6"/>
    <w:rsid w:val="68BE495C"/>
    <w:rsid w:val="6A7259FE"/>
    <w:rsid w:val="6A89513B"/>
    <w:rsid w:val="6B8E4D79"/>
    <w:rsid w:val="6C570A57"/>
    <w:rsid w:val="6D6830E8"/>
    <w:rsid w:val="7016507D"/>
    <w:rsid w:val="70282352"/>
    <w:rsid w:val="70B37390"/>
    <w:rsid w:val="71C07633"/>
    <w:rsid w:val="75431E11"/>
    <w:rsid w:val="79E81EBB"/>
    <w:rsid w:val="7AD16771"/>
    <w:rsid w:val="7CD75B94"/>
    <w:rsid w:val="7F1C6954"/>
    <w:rsid w:val="7FBD3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List Number"/>
    <w:basedOn w:val="1"/>
    <w:semiHidden/>
    <w:unhideWhenUsed/>
    <w:qFormat/>
    <w:uiPriority w:val="99"/>
    <w:pPr>
      <w:tabs>
        <w:tab w:val="left" w:pos="360"/>
      </w:tabs>
      <w:ind w:left="360" w:hanging="360" w:hangingChars="200"/>
      <w:contextualSpacing/>
    </w:pPr>
  </w:style>
  <w:style w:type="paragraph" w:styleId="3">
    <w:name w:val="Date"/>
    <w:basedOn w:val="1"/>
    <w:next w:val="1"/>
    <w:link w:val="10"/>
    <w:semiHidden/>
    <w:unhideWhenUsed/>
    <w:qFormat/>
    <w:uiPriority w:val="99"/>
    <w:pPr>
      <w:ind w:left="100" w:leftChars="2500"/>
    </w:p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日期 Char"/>
    <w:basedOn w:val="7"/>
    <w:link w:val="3"/>
    <w:semiHidden/>
    <w:qFormat/>
    <w:uiPriority w:val="99"/>
  </w:style>
  <w:style w:type="paragraph" w:customStyle="1" w:styleId="11">
    <w:name w:val="正文列表编号"/>
    <w:basedOn w:val="2"/>
    <w:next w:val="2"/>
    <w:qFormat/>
    <w:uiPriority w:val="0"/>
    <w:pPr>
      <w:widowControl/>
      <w:spacing w:beforeLines="50" w:line="360" w:lineRule="auto"/>
      <w:ind w:left="1600" w:hanging="200" w:firstLineChars="0"/>
      <w:jc w:val="left"/>
    </w:pPr>
    <w:rPr>
      <w:rFonts w:ascii="Verdana" w:hAnsi="Verdana" w:eastAsia="宋体" w:cs="Times New Roman"/>
      <w:kern w:val="0"/>
      <w:sz w:val="24"/>
      <w:szCs w:val="28"/>
      <w:lang w:eastAsia="en-US"/>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1744</Words>
  <Characters>1978</Characters>
  <Lines>14</Lines>
  <Paragraphs>4</Paragraphs>
  <TotalTime>15</TotalTime>
  <ScaleCrop>false</ScaleCrop>
  <LinksUpToDate>false</LinksUpToDate>
  <CharactersWithSpaces>1978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2019-04-02T06:14:00Z</dcterms:created>
  <dc:creator>admin</dc:creator>
  <cp:lastModifiedBy>Administrator</cp:lastModifiedBy>
  <cp:lastPrinted>2017-06-02T07:49:00Z</cp:lastPrinted>
  <dcterms:modified xsi:type="dcterms:W3CDTF">2024-02-07T08:35:28Z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A86162CBC2F3404B9D5ED2F1CDB2EC0B</vt:lpwstr>
  </property>
</Properties>
</file>