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210" w:type="dxa"/>
        <w:tblInd w:w="-232"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
      <w:tblGrid>
        <w:gridCol w:w="10210"/>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14523" w:hRule="exact"/>
        </w:trPr>
        <w:tc>
          <w:tcPr>
            <w:tcW w:w="10210" w:type="dxa"/>
          </w:tcPr>
          <w:p>
            <w:pPr>
              <w:spacing w:line="360" w:lineRule="exact"/>
              <w:rPr>
                <w:rFonts w:asciiTheme="majorEastAsia" w:hAnsiTheme="majorEastAsia" w:eastAsiaTheme="majorEastAsia"/>
                <w:b/>
                <w:sz w:val="24"/>
              </w:rPr>
            </w:pPr>
            <w:r>
              <w:rPr>
                <w:rFonts w:hint="eastAsia" w:cs="仿宋" w:asciiTheme="majorEastAsia" w:hAnsiTheme="majorEastAsia" w:eastAsiaTheme="majorEastAsia"/>
                <w:b/>
                <w:sz w:val="24"/>
                <w:szCs w:val="24"/>
                <w:lang w:eastAsia="zh-CN"/>
              </w:rPr>
              <w:t>生态环境主管部门</w:t>
            </w:r>
            <w:r>
              <w:rPr>
                <w:rFonts w:hint="eastAsia" w:cs="仿宋" w:asciiTheme="majorEastAsia" w:hAnsiTheme="majorEastAsia" w:eastAsiaTheme="majorEastAsia"/>
                <w:b/>
                <w:sz w:val="24"/>
                <w:szCs w:val="24"/>
              </w:rPr>
              <w:t>审批意见：</w:t>
            </w:r>
            <w:r>
              <w:rPr>
                <w:rFonts w:hint="eastAsia" w:cs="仿宋" w:asciiTheme="majorEastAsia" w:hAnsiTheme="majorEastAsia" w:eastAsiaTheme="majorEastAsia"/>
                <w:b/>
                <w:sz w:val="24"/>
                <w:szCs w:val="24"/>
                <w:lang w:val="en-US" w:eastAsia="zh-CN"/>
              </w:rPr>
              <w:t xml:space="preserve">                                       </w:t>
            </w:r>
            <w:r>
              <w:rPr>
                <w:rFonts w:hint="eastAsia" w:ascii="仿宋" w:hAnsi="仿宋" w:eastAsia="仿宋" w:cs="仿宋"/>
                <w:sz w:val="21"/>
                <w:szCs w:val="21"/>
              </w:rPr>
              <w:t>隆环评[20</w:t>
            </w:r>
            <w:r>
              <w:rPr>
                <w:rFonts w:hint="eastAsia" w:ascii="仿宋" w:hAnsi="仿宋" w:eastAsia="仿宋" w:cs="仿宋"/>
                <w:sz w:val="21"/>
                <w:szCs w:val="21"/>
                <w:lang w:val="en-US" w:eastAsia="zh-CN"/>
              </w:rPr>
              <w:t>24</w:t>
            </w:r>
            <w:r>
              <w:rPr>
                <w:rFonts w:hint="eastAsia" w:ascii="仿宋" w:hAnsi="仿宋" w:eastAsia="仿宋" w:cs="仿宋"/>
                <w:sz w:val="21"/>
                <w:szCs w:val="21"/>
              </w:rPr>
              <w:t>]</w:t>
            </w:r>
            <w:r>
              <w:rPr>
                <w:rFonts w:hint="eastAsia" w:ascii="仿宋" w:hAnsi="仿宋" w:eastAsia="仿宋" w:cs="仿宋"/>
                <w:sz w:val="21"/>
                <w:szCs w:val="21"/>
                <w:lang w:val="en-US" w:eastAsia="zh-CN"/>
              </w:rPr>
              <w:t>13</w:t>
            </w:r>
            <w:r>
              <w:rPr>
                <w:rFonts w:hint="eastAsia" w:ascii="仿宋" w:hAnsi="仿宋" w:eastAsia="仿宋" w:cs="仿宋"/>
                <w:sz w:val="21"/>
                <w:szCs w:val="21"/>
              </w:rPr>
              <w:t>号</w:t>
            </w:r>
          </w:p>
          <w:p>
            <w:pPr>
              <w:keepNext w:val="0"/>
              <w:keepLines w:val="0"/>
              <w:widowControl/>
              <w:suppressLineNumbers w:val="0"/>
              <w:ind w:firstLine="420" w:firstLineChars="200"/>
              <w:jc w:val="left"/>
              <w:rPr>
                <w:rFonts w:hint="default" w:ascii="仿宋" w:hAnsi="仿宋" w:eastAsia="仿宋" w:cs="仿宋"/>
                <w:sz w:val="21"/>
                <w:szCs w:val="21"/>
                <w:lang w:val="en-US"/>
              </w:rPr>
            </w:pPr>
            <w:r>
              <w:rPr>
                <w:rFonts w:hint="eastAsia" w:ascii="仿宋" w:hAnsi="仿宋" w:eastAsia="仿宋" w:cs="仿宋"/>
                <w:sz w:val="21"/>
                <w:szCs w:val="21"/>
                <w:lang w:val="en-US" w:eastAsia="zh-CN"/>
              </w:rPr>
              <w:t>承德恒皓新能源科技有限公司关于隆化县2024年生物质燃料基地建设项目位于承德市隆化县汤头沟镇疙瘩营村。项目中心点坐标为：</w:t>
            </w:r>
            <w:r>
              <w:rPr>
                <w:rFonts w:hint="default" w:ascii="仿宋" w:hAnsi="仿宋" w:eastAsia="仿宋" w:cs="仿宋"/>
                <w:sz w:val="21"/>
                <w:szCs w:val="21"/>
                <w:lang w:val="en-US" w:eastAsia="zh-CN"/>
              </w:rPr>
              <w:t>E</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117°42′4.535″</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N</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41°26′1.195″</w:t>
            </w:r>
            <w:r>
              <w:rPr>
                <w:rFonts w:hint="eastAsia" w:ascii="仿宋" w:hAnsi="仿宋" w:eastAsia="仿宋" w:cs="仿宋"/>
                <w:sz w:val="21"/>
                <w:szCs w:val="21"/>
                <w:lang w:val="en-US" w:eastAsia="zh-CN"/>
              </w:rPr>
              <w:t>。总投资450万元，环保投资20万元，环保投资占比4.44%。</w:t>
            </w:r>
            <w:r>
              <w:rPr>
                <w:rFonts w:hint="eastAsia" w:ascii="仿宋" w:hAnsi="仿宋" w:eastAsia="仿宋" w:cs="仿宋"/>
                <w:sz w:val="21"/>
                <w:szCs w:val="21"/>
                <w:lang w:eastAsia="zh-CN"/>
              </w:rPr>
              <w:t>主要建设内容及规模：</w:t>
            </w:r>
            <w:r>
              <w:rPr>
                <w:rFonts w:hint="eastAsia" w:ascii="仿宋" w:hAnsi="仿宋" w:eastAsia="仿宋" w:cs="仿宋"/>
                <w:sz w:val="21"/>
                <w:szCs w:val="21"/>
                <w:lang w:val="en-US" w:eastAsia="zh-CN"/>
              </w:rPr>
              <w:t>项目总占地面积6644.5平方米，租赁隆化县兴州粮食购销有限公司疙瘩营分公司闲置厂房新建一条年生产能力10000吨的生物质颗粒燃料加工生产线。购置安装生物质成型燃料加工生产设备、叉车等机械。项目总建筑面积为3084.87平方米，其中在现有厂区内新建生产车间1200平方米，新建危废间10平方米，利用现有车间1874.87平方米。厂区冬季采用电锅炉取暖，烘干机采用电烘干方式。</w:t>
            </w:r>
          </w:p>
          <w:p>
            <w:pPr>
              <w:numPr>
                <w:ilvl w:val="0"/>
                <w:numId w:val="0"/>
              </w:numPr>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一、经审查，</w:t>
            </w:r>
            <w:r>
              <w:rPr>
                <w:rFonts w:hint="eastAsia" w:ascii="仿宋" w:hAnsi="仿宋" w:eastAsia="仿宋" w:cs="仿宋"/>
                <w:sz w:val="21"/>
                <w:szCs w:val="21"/>
              </w:rPr>
              <w:t>项目建设取得了隆化县行政审批局出具的企业投资项目备案信息（备案编号</w:t>
            </w:r>
            <w:r>
              <w:rPr>
                <w:rFonts w:hint="eastAsia" w:ascii="仿宋" w:hAnsi="仿宋" w:eastAsia="仿宋" w:cs="仿宋"/>
                <w:sz w:val="21"/>
                <w:szCs w:val="21"/>
                <w:lang w:eastAsia="zh-CN"/>
              </w:rPr>
              <w:t>：</w:t>
            </w:r>
            <w:r>
              <w:rPr>
                <w:rFonts w:hint="eastAsia" w:ascii="仿宋" w:hAnsi="仿宋" w:eastAsia="仿宋" w:cs="仿宋"/>
                <w:sz w:val="21"/>
                <w:szCs w:val="21"/>
              </w:rPr>
              <w:t>隆审批投资备[20</w:t>
            </w:r>
            <w:r>
              <w:rPr>
                <w:rFonts w:hint="eastAsia" w:ascii="仿宋" w:hAnsi="仿宋" w:eastAsia="仿宋" w:cs="仿宋"/>
                <w:sz w:val="21"/>
                <w:szCs w:val="21"/>
                <w:lang w:val="en-US" w:eastAsia="zh-CN"/>
              </w:rPr>
              <w:t>23</w:t>
            </w:r>
            <w:r>
              <w:rPr>
                <w:rFonts w:hint="eastAsia" w:ascii="仿宋" w:hAnsi="仿宋" w:eastAsia="仿宋" w:cs="仿宋"/>
                <w:sz w:val="21"/>
                <w:szCs w:val="21"/>
              </w:rPr>
              <w:t>]</w:t>
            </w:r>
            <w:r>
              <w:rPr>
                <w:rFonts w:hint="eastAsia" w:ascii="仿宋" w:hAnsi="仿宋" w:eastAsia="仿宋" w:cs="仿宋"/>
                <w:sz w:val="21"/>
                <w:szCs w:val="21"/>
                <w:lang w:val="en-US" w:eastAsia="zh-CN"/>
              </w:rPr>
              <w:t>194</w:t>
            </w:r>
            <w:r>
              <w:rPr>
                <w:rFonts w:hint="eastAsia" w:ascii="仿宋" w:hAnsi="仿宋" w:eastAsia="仿宋" w:cs="仿宋"/>
                <w:sz w:val="21"/>
                <w:szCs w:val="21"/>
              </w:rPr>
              <w:t>号），符合国家相关产业政策。</w:t>
            </w:r>
            <w:r>
              <w:rPr>
                <w:rFonts w:hint="eastAsia" w:ascii="仿宋" w:hAnsi="仿宋" w:eastAsia="仿宋" w:cs="仿宋"/>
                <w:sz w:val="21"/>
                <w:szCs w:val="21"/>
                <w:lang w:val="en-US" w:eastAsia="zh-CN"/>
              </w:rPr>
              <w:t>在严格落实环境影响</w:t>
            </w:r>
            <w:r>
              <w:rPr>
                <w:rFonts w:hint="eastAsia" w:ascii="仿宋" w:hAnsi="仿宋" w:eastAsia="仿宋" w:cs="仿宋"/>
                <w:sz w:val="21"/>
                <w:szCs w:val="21"/>
              </w:rPr>
              <w:t>报告表中</w:t>
            </w:r>
            <w:r>
              <w:rPr>
                <w:rFonts w:hint="eastAsia" w:ascii="仿宋" w:hAnsi="仿宋" w:eastAsia="仿宋" w:cs="仿宋"/>
                <w:sz w:val="21"/>
                <w:szCs w:val="21"/>
                <w:lang w:val="en-US" w:eastAsia="zh-CN"/>
              </w:rPr>
              <w:t>提出的各项环境保护措施和要求、采取有效的环境风险防范措施的前提下，该</w:t>
            </w:r>
            <w:r>
              <w:rPr>
                <w:rFonts w:hint="eastAsia" w:ascii="仿宋" w:hAnsi="仿宋" w:eastAsia="仿宋" w:cs="仿宋"/>
                <w:sz w:val="21"/>
                <w:szCs w:val="21"/>
              </w:rPr>
              <w:t>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报告表</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中所列项目</w:t>
            </w:r>
            <w:r>
              <w:rPr>
                <w:rFonts w:hint="eastAsia" w:ascii="仿宋" w:hAnsi="仿宋" w:eastAsia="仿宋" w:cs="仿宋"/>
                <w:sz w:val="21"/>
                <w:szCs w:val="21"/>
              </w:rPr>
              <w:t>的性质、规模、地点</w:t>
            </w:r>
            <w:r>
              <w:rPr>
                <w:rFonts w:hint="eastAsia" w:ascii="仿宋" w:hAnsi="仿宋" w:eastAsia="仿宋" w:cs="仿宋"/>
                <w:sz w:val="21"/>
                <w:szCs w:val="21"/>
                <w:lang w:val="en-US" w:eastAsia="zh-CN"/>
              </w:rPr>
              <w:t>和拟采取的</w:t>
            </w:r>
            <w:r>
              <w:rPr>
                <w:rFonts w:hint="eastAsia" w:ascii="仿宋" w:hAnsi="仿宋" w:eastAsia="仿宋" w:cs="仿宋"/>
                <w:sz w:val="21"/>
                <w:szCs w:val="21"/>
              </w:rPr>
              <w:t>环境保护</w:t>
            </w:r>
            <w:r>
              <w:rPr>
                <w:rFonts w:hint="eastAsia" w:ascii="仿宋" w:hAnsi="仿宋" w:eastAsia="仿宋" w:cs="仿宋"/>
                <w:sz w:val="21"/>
                <w:szCs w:val="21"/>
                <w:lang w:val="en-US" w:eastAsia="zh-CN"/>
              </w:rPr>
              <w:t>措施可以作为项目实施依据，并</w:t>
            </w:r>
            <w:r>
              <w:rPr>
                <w:rFonts w:hint="eastAsia" w:ascii="仿宋" w:hAnsi="仿宋" w:eastAsia="仿宋" w:cs="仿宋"/>
                <w:sz w:val="21"/>
                <w:szCs w:val="21"/>
              </w:rPr>
              <w:t>重点做好以下工作：</w:t>
            </w:r>
          </w:p>
          <w:p>
            <w:pPr>
              <w:numPr>
                <w:ilvl w:val="0"/>
                <w:numId w:val="0"/>
              </w:numPr>
              <w:ind w:firstLine="420" w:firstLineChars="200"/>
              <w:rPr>
                <w:rStyle w:val="10"/>
                <w:rFonts w:hint="eastAsia" w:ascii="仿宋" w:hAnsi="仿宋" w:eastAsia="仿宋" w:cs="仿宋"/>
                <w:b w:val="0"/>
                <w:color w:val="191919"/>
                <w:sz w:val="21"/>
                <w:szCs w:val="21"/>
                <w:shd w:val="clear" w:color="auto" w:fill="FFFFFF"/>
              </w:rPr>
            </w:pPr>
            <w:r>
              <w:rPr>
                <w:rStyle w:val="10"/>
                <w:rFonts w:hint="eastAsia" w:ascii="仿宋" w:hAnsi="仿宋" w:eastAsia="仿宋" w:cs="仿宋"/>
                <w:b w:val="0"/>
                <w:color w:val="191919"/>
                <w:sz w:val="21"/>
                <w:szCs w:val="21"/>
                <w:shd w:val="clear" w:color="auto" w:fill="FFFFFF"/>
              </w:rPr>
              <w:t>（一）加强环境管理及监测。</w:t>
            </w:r>
          </w:p>
          <w:p>
            <w:pPr>
              <w:ind w:firstLine="420" w:firstLineChars="200"/>
              <w:rPr>
                <w:rStyle w:val="10"/>
                <w:rFonts w:hint="default" w:ascii="仿宋" w:hAnsi="仿宋" w:eastAsia="仿宋" w:cs="仿宋"/>
                <w:b w:val="0"/>
                <w:color w:val="191919"/>
                <w:sz w:val="21"/>
                <w:szCs w:val="21"/>
                <w:shd w:val="clear" w:color="auto" w:fill="FFFFFF"/>
                <w:lang w:val="en-US"/>
              </w:rPr>
            </w:pPr>
            <w:r>
              <w:rPr>
                <w:rFonts w:hint="eastAsia" w:ascii="仿宋" w:hAnsi="仿宋" w:eastAsia="仿宋" w:cs="仿宋"/>
                <w:sz w:val="21"/>
                <w:szCs w:val="21"/>
              </w:rPr>
              <w:t>该项目在建设</w:t>
            </w:r>
            <w:r>
              <w:rPr>
                <w:rFonts w:hint="eastAsia" w:ascii="仿宋" w:hAnsi="仿宋" w:eastAsia="仿宋" w:cs="仿宋"/>
                <w:sz w:val="21"/>
                <w:szCs w:val="21"/>
                <w:lang w:val="en-US" w:eastAsia="zh-CN"/>
              </w:rPr>
              <w:t>和生产</w:t>
            </w:r>
            <w:r>
              <w:rPr>
                <w:rFonts w:hint="eastAsia" w:ascii="仿宋" w:hAnsi="仿宋" w:eastAsia="仿宋" w:cs="仿宋"/>
                <w:sz w:val="21"/>
                <w:szCs w:val="21"/>
              </w:rPr>
              <w:t>过程中必须严格遵守环保法律法规</w:t>
            </w:r>
            <w:r>
              <w:rPr>
                <w:rFonts w:hint="eastAsia" w:ascii="仿宋" w:hAnsi="仿宋" w:eastAsia="仿宋" w:cs="仿宋"/>
                <w:sz w:val="21"/>
                <w:szCs w:val="21"/>
                <w:lang w:eastAsia="zh-CN"/>
              </w:rPr>
              <w:t>，</w:t>
            </w:r>
            <w:r>
              <w:rPr>
                <w:rStyle w:val="10"/>
                <w:rFonts w:hint="eastAsia" w:ascii="仿宋" w:hAnsi="仿宋" w:eastAsia="仿宋" w:cs="仿宋"/>
                <w:b w:val="0"/>
                <w:color w:val="191919"/>
                <w:sz w:val="21"/>
                <w:szCs w:val="21"/>
                <w:shd w:val="clear" w:color="auto" w:fill="FFFFFF"/>
              </w:rPr>
              <w:t>建立健全企业内部环境管理机制，制定完善的环保规章制度，</w:t>
            </w:r>
            <w:r>
              <w:rPr>
                <w:rFonts w:hint="eastAsia" w:ascii="仿宋" w:hAnsi="仿宋" w:eastAsia="仿宋" w:cs="仿宋"/>
                <w:color w:val="191919"/>
                <w:sz w:val="21"/>
                <w:szCs w:val="21"/>
                <w:shd w:val="clear" w:color="auto" w:fill="FFFFFF"/>
                <w:lang w:val="en-US" w:eastAsia="zh-CN"/>
              </w:rPr>
              <w:t>制定切实可行的突发环境事件应急预案，严格落实预案中相关要求并定期进行应急演练，</w:t>
            </w:r>
            <w:r>
              <w:rPr>
                <w:rStyle w:val="10"/>
                <w:rFonts w:hint="eastAsia" w:ascii="仿宋" w:hAnsi="仿宋" w:eastAsia="仿宋" w:cs="仿宋"/>
                <w:b w:val="0"/>
                <w:color w:val="191919"/>
                <w:sz w:val="21"/>
                <w:szCs w:val="21"/>
                <w:shd w:val="clear" w:color="auto" w:fill="FFFFFF"/>
              </w:rPr>
              <w:t>加强日常运行及维护管理，确保各类污染物稳定达标排放、环境风险得到有效管控。规范排污口</w:t>
            </w:r>
            <w:r>
              <w:rPr>
                <w:rStyle w:val="10"/>
                <w:rFonts w:hint="eastAsia" w:ascii="仿宋" w:hAnsi="仿宋" w:eastAsia="仿宋" w:cs="仿宋"/>
                <w:b w:val="0"/>
                <w:color w:val="191919"/>
                <w:sz w:val="21"/>
                <w:szCs w:val="21"/>
                <w:shd w:val="clear" w:color="auto" w:fill="FFFFFF"/>
                <w:lang w:val="en-US" w:eastAsia="zh-CN"/>
              </w:rPr>
              <w:t>管理</w:t>
            </w:r>
            <w:r>
              <w:rPr>
                <w:rStyle w:val="10"/>
                <w:rFonts w:hint="eastAsia" w:ascii="仿宋" w:hAnsi="仿宋" w:eastAsia="仿宋" w:cs="仿宋"/>
                <w:b w:val="0"/>
                <w:color w:val="191919"/>
                <w:sz w:val="21"/>
                <w:szCs w:val="21"/>
                <w:shd w:val="clear" w:color="auto" w:fill="FFFFFF"/>
              </w:rPr>
              <w:t>，</w:t>
            </w:r>
            <w:r>
              <w:rPr>
                <w:rStyle w:val="10"/>
                <w:rFonts w:hint="eastAsia" w:ascii="仿宋" w:hAnsi="仿宋" w:eastAsia="仿宋" w:cs="仿宋"/>
                <w:b w:val="0"/>
                <w:color w:val="191919"/>
                <w:sz w:val="21"/>
                <w:szCs w:val="21"/>
                <w:shd w:val="clear" w:color="auto" w:fill="FFFFFF"/>
                <w:lang w:val="en-US" w:eastAsia="zh-CN"/>
              </w:rPr>
              <w:t>严格</w:t>
            </w:r>
            <w:r>
              <w:rPr>
                <w:rStyle w:val="10"/>
                <w:rFonts w:hint="eastAsia" w:ascii="仿宋" w:hAnsi="仿宋" w:eastAsia="仿宋" w:cs="仿宋"/>
                <w:b w:val="0"/>
                <w:color w:val="191919"/>
                <w:sz w:val="21"/>
                <w:szCs w:val="21"/>
                <w:shd w:val="clear" w:color="auto" w:fill="FFFFFF"/>
              </w:rPr>
              <w:t>落实环境监测计划</w:t>
            </w:r>
            <w:r>
              <w:rPr>
                <w:rStyle w:val="10"/>
                <w:rFonts w:hint="eastAsia" w:ascii="仿宋" w:hAnsi="仿宋" w:eastAsia="仿宋" w:cs="仿宋"/>
                <w:b w:val="0"/>
                <w:color w:val="191919"/>
                <w:sz w:val="21"/>
                <w:szCs w:val="21"/>
                <w:shd w:val="clear" w:color="auto" w:fill="FFFFFF"/>
                <w:lang w:eastAsia="zh-CN"/>
              </w:rPr>
              <w:t>。</w:t>
            </w:r>
          </w:p>
          <w:p>
            <w:pPr>
              <w:ind w:firstLine="420" w:firstLineChars="200"/>
              <w:rPr>
                <w:rFonts w:hint="eastAsia" w:ascii="仿宋" w:hAnsi="仿宋" w:eastAsia="仿宋" w:cs="仿宋"/>
                <w:color w:val="191919"/>
                <w:sz w:val="21"/>
                <w:szCs w:val="21"/>
                <w:shd w:val="clear" w:color="auto" w:fill="FFFFFF"/>
              </w:rPr>
            </w:pPr>
            <w:r>
              <w:rPr>
                <w:rFonts w:hint="eastAsia" w:ascii="仿宋" w:hAnsi="仿宋" w:eastAsia="仿宋" w:cs="仿宋"/>
                <w:color w:val="191919"/>
                <w:sz w:val="21"/>
                <w:szCs w:val="21"/>
                <w:shd w:val="clear" w:color="auto" w:fill="FFFFFF"/>
              </w:rPr>
              <w:t>（二）落实各项污染防治措施。</w:t>
            </w:r>
          </w:p>
          <w:p>
            <w:pPr>
              <w:keepNext w:val="0"/>
              <w:keepLines w:val="0"/>
              <w:widowControl/>
              <w:suppressLineNumbers w:val="0"/>
              <w:ind w:firstLine="420" w:firstLineChars="2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项目施工期通过在施工现场修建临时性集水池，将雨后地表径流形成的泥浆水和施工废水引至集水池收集处理后，用于建筑场地的洒水降尘及周边植被的绿化使用，不外排；工人的盥洗用水泼洒至施工现场用于降尘使用。项目运营期无生产废水，本项目不设食堂宿舍，职工均来自附近村民，生活污水为盥洗水，主要用于厂区洒水抑尘，不外排，厂区设置防渗旱厕。</w:t>
            </w:r>
          </w:p>
          <w:p>
            <w:pPr>
              <w:keepNext w:val="0"/>
              <w:keepLines w:val="0"/>
              <w:widowControl/>
              <w:suppressLineNumbers w:val="0"/>
              <w:ind w:firstLine="420" w:firstLineChars="20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项目施工期扬尘严格落实《河北省扬尘污染防治办法》（河北省人民政府令（2020）第1号）等有关文件要求，采取有效措施防止、减少建设阶段土方挖掘及运输、土地平整、建筑材料装卸及堆存、工程施工、车辆行驶等过程产生的扬尘，保证施工场地扬尘污染物排放符合《施工场地扬尘排放标准》（DB13/2934-2019）表1扬尘排放浓度限值。项目粉碎工序、制粒工序、湿料储存粉尘经集气罩收集后通过布袋除尘器净化处理后，由1根排气筒排放；未收集废气采用封闭处理，并采取喷淋抑尘措施，厂区道路地面进行硬化，其他场地覆土绿化，加强路面清扫、洒水降尘工作。运营期粉碎、制粒粉尘的排放执行《大气污染物综合排放标准》（GB16297-1996）中表 2 标准。</w:t>
            </w:r>
          </w:p>
          <w:p>
            <w:pPr>
              <w:keepNext w:val="0"/>
              <w:keepLines w:val="0"/>
              <w:widowControl/>
              <w:suppressLineNumbers w:val="0"/>
              <w:ind w:firstLine="420" w:firstLineChars="200"/>
              <w:jc w:val="left"/>
              <w:rPr>
                <w:rFonts w:hint="default" w:ascii="仿宋" w:hAnsi="仿宋" w:eastAsia="仿宋" w:cs="仿宋"/>
                <w:color w:val="0000FF"/>
                <w:sz w:val="21"/>
                <w:szCs w:val="21"/>
                <w:lang w:val="en-US" w:eastAsia="zh-CN"/>
              </w:rPr>
            </w:pPr>
            <w:r>
              <w:rPr>
                <w:rFonts w:hint="eastAsia" w:ascii="仿宋" w:hAnsi="仿宋" w:eastAsia="仿宋" w:cs="仿宋"/>
                <w:sz w:val="21"/>
                <w:szCs w:val="21"/>
                <w:lang w:val="en-US" w:eastAsia="zh-CN"/>
              </w:rPr>
              <w:t>3.加强建设阶段的环境管理工作；选用低噪声的设备和先进的工艺，闲置设备及时关闭，定时检修；合理安排施工时间，车辆减速、不鸣笛，场地内运输车辆不长时间行驶。施工期噪声执行《建筑施工场界环境噪声排放标准》（GB12523-2011）中相应标准限值。项目运营期经过车间封闭，厂房隔声，基础减震，厂界噪声能满足《工业企业厂界环境噪声排放标准》（</w:t>
            </w:r>
            <w:r>
              <w:rPr>
                <w:rFonts w:hint="default" w:ascii="仿宋" w:hAnsi="仿宋" w:eastAsia="仿宋" w:cs="仿宋"/>
                <w:sz w:val="21"/>
                <w:szCs w:val="21"/>
                <w:lang w:val="en-US" w:eastAsia="zh-CN"/>
              </w:rPr>
              <w:t>GB12348-2008</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2</w:t>
            </w:r>
            <w:r>
              <w:rPr>
                <w:rFonts w:hint="eastAsia" w:ascii="仿宋" w:hAnsi="仿宋" w:eastAsia="仿宋" w:cs="仿宋"/>
                <w:sz w:val="21"/>
                <w:szCs w:val="21"/>
                <w:lang w:val="en-US" w:eastAsia="zh-CN"/>
              </w:rPr>
              <w:t>类标准。</w:t>
            </w:r>
          </w:p>
          <w:p>
            <w:pPr>
              <w:keepNext w:val="0"/>
              <w:keepLines w:val="0"/>
              <w:widowControl/>
              <w:suppressLineNumbers w:val="0"/>
              <w:ind w:firstLine="420" w:firstLineChars="20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建设过程中产生建筑垃圾为简单建筑包装物、浮土等简单的建筑垃圾均在指定地点堆存，优先进行回用，剩余部分及时清运，送至区域指定建筑垃圾场堆存处置；建设过程中产生的生活垃圾集中收集，送至区域指定垃圾集中堆存点，由区域环卫部门统一负责处置，运营期产生的固体废物主要为除尘灰，回用于生产；生活垃圾集中收集后定期由环卫部门清运处理。一般工业固废处置执行《一般工业固体废物贮存和填埋污染控制标准》（GB18599-2020）中有关规定。废润滑油、废油桶属于危险废物，暂存于危废间内，定期由有资质单位收集处置。危险废物执行《危险废物贮存</w:t>
            </w:r>
            <w:bookmarkStart w:id="0" w:name="_GoBack"/>
            <w:bookmarkEnd w:id="0"/>
            <w:r>
              <w:rPr>
                <w:rFonts w:hint="eastAsia" w:ascii="仿宋" w:hAnsi="仿宋" w:eastAsia="仿宋" w:cs="仿宋"/>
                <w:color w:val="auto"/>
                <w:sz w:val="21"/>
                <w:szCs w:val="21"/>
                <w:lang w:val="en-US" w:eastAsia="zh-CN"/>
              </w:rPr>
              <w:t>污染控制标准》（</w:t>
            </w:r>
            <w:r>
              <w:rPr>
                <w:rFonts w:hint="default" w:ascii="仿宋" w:hAnsi="仿宋" w:eastAsia="仿宋" w:cs="仿宋"/>
                <w:color w:val="auto"/>
                <w:sz w:val="21"/>
                <w:szCs w:val="21"/>
                <w:lang w:val="en-US" w:eastAsia="zh-CN"/>
              </w:rPr>
              <w:t>GB18597-2023</w:t>
            </w:r>
            <w:r>
              <w:rPr>
                <w:rFonts w:hint="eastAsia" w:ascii="仿宋" w:hAnsi="仿宋" w:eastAsia="仿宋" w:cs="仿宋"/>
                <w:color w:val="auto"/>
                <w:sz w:val="21"/>
                <w:szCs w:val="21"/>
                <w:lang w:val="en-US" w:eastAsia="zh-CN"/>
              </w:rPr>
              <w:t>）的相关规定。</w:t>
            </w:r>
          </w:p>
          <w:p>
            <w:pPr>
              <w:pStyle w:val="16"/>
              <w:spacing w:line="320" w:lineRule="exact"/>
              <w:ind w:firstLine="420" w:firstLineChars="200"/>
              <w:rPr>
                <w:rFonts w:hint="eastAsia" w:ascii="仿宋" w:hAnsi="仿宋" w:eastAsia="仿宋" w:cs="仿宋"/>
                <w:b w:val="0"/>
                <w:bCs w:val="0"/>
                <w:sz w:val="21"/>
                <w:szCs w:val="21"/>
              </w:rPr>
            </w:pPr>
            <w:r>
              <w:rPr>
                <w:rFonts w:hint="eastAsia" w:ascii="仿宋" w:hAnsi="仿宋" w:eastAsia="仿宋" w:cs="仿宋"/>
                <w:sz w:val="21"/>
                <w:szCs w:val="21"/>
                <w:lang w:val="en-US" w:eastAsia="zh-CN"/>
              </w:rPr>
              <w:t>二、项目建设必须严格执行环境保护设施与主体工程同时设计、同时施工、同时投入使用的环保“三同时”制度。项目建成后，在调试生产前要对照相关要求落实好排污许可事项，并按规定程序实施竣工环境保护验收。</w:t>
            </w:r>
            <w:r>
              <w:rPr>
                <w:rFonts w:hint="eastAsia" w:ascii="仿宋" w:hAnsi="仿宋" w:eastAsia="仿宋" w:cs="仿宋"/>
                <w:sz w:val="21"/>
                <w:szCs w:val="21"/>
              </w:rPr>
              <w:t>项目投运后，控制全厂</w:t>
            </w:r>
            <w:r>
              <w:rPr>
                <w:rFonts w:hint="eastAsia" w:ascii="仿宋" w:hAnsi="仿宋" w:eastAsia="仿宋" w:cs="仿宋"/>
                <w:b w:val="0"/>
                <w:bCs w:val="0"/>
                <w:sz w:val="21"/>
                <w:szCs w:val="21"/>
              </w:rPr>
              <w:t>COD、NH</w:t>
            </w:r>
            <w:r>
              <w:rPr>
                <w:rFonts w:hint="eastAsia" w:ascii="仿宋" w:hAnsi="仿宋" w:eastAsia="仿宋" w:cs="仿宋"/>
                <w:b w:val="0"/>
                <w:bCs w:val="0"/>
                <w:sz w:val="21"/>
                <w:szCs w:val="21"/>
                <w:vertAlign w:val="subscript"/>
              </w:rPr>
              <w:t>3</w:t>
            </w:r>
            <w:r>
              <w:rPr>
                <w:rFonts w:hint="eastAsia" w:ascii="仿宋" w:hAnsi="仿宋" w:eastAsia="仿宋" w:cs="仿宋"/>
                <w:b w:val="0"/>
                <w:bCs w:val="0"/>
                <w:sz w:val="21"/>
                <w:szCs w:val="21"/>
              </w:rPr>
              <w:t>-N、SO</w:t>
            </w:r>
            <w:r>
              <w:rPr>
                <w:rFonts w:hint="eastAsia" w:ascii="仿宋" w:hAnsi="仿宋" w:eastAsia="仿宋" w:cs="仿宋"/>
                <w:b w:val="0"/>
                <w:bCs w:val="0"/>
                <w:sz w:val="21"/>
                <w:szCs w:val="21"/>
                <w:vertAlign w:val="subscript"/>
              </w:rPr>
              <w:t>2</w:t>
            </w:r>
            <w:r>
              <w:rPr>
                <w:rFonts w:hint="eastAsia" w:ascii="仿宋" w:hAnsi="仿宋" w:eastAsia="仿宋" w:cs="仿宋"/>
                <w:b w:val="0"/>
                <w:bCs w:val="0"/>
                <w:sz w:val="21"/>
                <w:szCs w:val="21"/>
              </w:rPr>
              <w:t>、NO</w:t>
            </w:r>
            <w:r>
              <w:rPr>
                <w:rFonts w:hint="eastAsia" w:ascii="仿宋" w:hAnsi="仿宋" w:eastAsia="仿宋" w:cs="仿宋"/>
                <w:b w:val="0"/>
                <w:bCs w:val="0"/>
                <w:sz w:val="21"/>
                <w:szCs w:val="21"/>
                <w:vertAlign w:val="subscript"/>
              </w:rPr>
              <w:t>x</w:t>
            </w:r>
            <w:r>
              <w:rPr>
                <w:rFonts w:hint="eastAsia" w:ascii="仿宋" w:hAnsi="仿宋" w:eastAsia="仿宋" w:cs="仿宋"/>
                <w:b w:val="0"/>
                <w:bCs w:val="0"/>
                <w:sz w:val="21"/>
                <w:szCs w:val="21"/>
              </w:rPr>
              <w:t>年排放量全部为0吨。</w:t>
            </w:r>
          </w:p>
          <w:p>
            <w:pPr>
              <w:pStyle w:val="16"/>
              <w:spacing w:line="320" w:lineRule="exact"/>
              <w:ind w:firstLine="420" w:firstLineChars="200"/>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sz w:val="21"/>
                <w:szCs w:val="21"/>
              </w:rPr>
              <w:t>三、建设项目的环境影响评价文件经批准后，建设项目的性质、规模、地点、采用的生产工艺或者防治污染、防止生态破坏的措施发生重大变动的，建设单位应当重新报批建设项目的环境影响评价文件，或该项目环境影响评价文件自批准之日起超过五年，方决定开工建设的，环境影响评价文件应当报原审批部门重新审核。</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经办人：                                                               2024年6月26日</w:t>
            </w:r>
          </w:p>
          <w:p>
            <w:pPr>
              <w:numPr>
                <w:ilvl w:val="0"/>
                <w:numId w:val="0"/>
              </w:numPr>
              <w:ind w:firstLine="420" w:firstLineChars="200"/>
              <w:rPr>
                <w:rFonts w:hint="eastAsia" w:ascii="仿宋" w:hAnsi="仿宋" w:eastAsia="仿宋" w:cs="仿宋"/>
                <w:sz w:val="21"/>
                <w:szCs w:val="21"/>
                <w:lang w:val="en-US" w:eastAsia="zh-CN"/>
              </w:rPr>
            </w:pPr>
          </w:p>
          <w:p>
            <w:pPr>
              <w:pStyle w:val="6"/>
              <w:spacing w:line="320" w:lineRule="exact"/>
              <w:ind w:left="0" w:firstLine="480" w:firstLineChars="200"/>
              <w:rPr>
                <w:rFonts w:ascii="仿宋_GB2312" w:hAnsi="宋体" w:eastAsia="仿宋_GB2312"/>
                <w:sz w:val="24"/>
              </w:rPr>
            </w:pPr>
          </w:p>
        </w:tc>
      </w:tr>
    </w:tbl>
    <w:p/>
    <w:sectPr>
      <w:pgSz w:w="11906" w:h="16838"/>
      <w:pgMar w:top="1157" w:right="1213" w:bottom="1157" w:left="121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FjZjI0NjMwNDI3MTk1NGU4ZTExZDhkYjgxNDBiYWUifQ=="/>
  </w:docVars>
  <w:rsids>
    <w:rsidRoot w:val="007510CB"/>
    <w:rsid w:val="00060C6A"/>
    <w:rsid w:val="00071C2B"/>
    <w:rsid w:val="000946F7"/>
    <w:rsid w:val="000D5464"/>
    <w:rsid w:val="00133A70"/>
    <w:rsid w:val="00172300"/>
    <w:rsid w:val="001A556F"/>
    <w:rsid w:val="001C2DB0"/>
    <w:rsid w:val="001F4506"/>
    <w:rsid w:val="0027372C"/>
    <w:rsid w:val="003648D7"/>
    <w:rsid w:val="004971E4"/>
    <w:rsid w:val="004B4980"/>
    <w:rsid w:val="004C549C"/>
    <w:rsid w:val="004F1B5F"/>
    <w:rsid w:val="00511AA2"/>
    <w:rsid w:val="00513FDD"/>
    <w:rsid w:val="00631EB1"/>
    <w:rsid w:val="00677623"/>
    <w:rsid w:val="00691F43"/>
    <w:rsid w:val="006F2FDB"/>
    <w:rsid w:val="007510CB"/>
    <w:rsid w:val="009C2AE0"/>
    <w:rsid w:val="00AD36A0"/>
    <w:rsid w:val="00B74CB2"/>
    <w:rsid w:val="00BC542C"/>
    <w:rsid w:val="00D362CD"/>
    <w:rsid w:val="00DA44ED"/>
    <w:rsid w:val="00EB5EBF"/>
    <w:rsid w:val="00F27DBA"/>
    <w:rsid w:val="00F45B84"/>
    <w:rsid w:val="00F56363"/>
    <w:rsid w:val="03C35590"/>
    <w:rsid w:val="04800841"/>
    <w:rsid w:val="05D71850"/>
    <w:rsid w:val="062A4D55"/>
    <w:rsid w:val="0639036B"/>
    <w:rsid w:val="08787C06"/>
    <w:rsid w:val="0903503C"/>
    <w:rsid w:val="09D61E32"/>
    <w:rsid w:val="0A456F94"/>
    <w:rsid w:val="0BB357F1"/>
    <w:rsid w:val="0C4F5441"/>
    <w:rsid w:val="0C7056C4"/>
    <w:rsid w:val="0CC5653B"/>
    <w:rsid w:val="0EA520AE"/>
    <w:rsid w:val="0F2637C4"/>
    <w:rsid w:val="10E220C6"/>
    <w:rsid w:val="11962326"/>
    <w:rsid w:val="11D905EA"/>
    <w:rsid w:val="120945EA"/>
    <w:rsid w:val="125123AD"/>
    <w:rsid w:val="12EA0B44"/>
    <w:rsid w:val="17805F80"/>
    <w:rsid w:val="182843B8"/>
    <w:rsid w:val="185C6797"/>
    <w:rsid w:val="1A820940"/>
    <w:rsid w:val="1A911B59"/>
    <w:rsid w:val="1B0272A5"/>
    <w:rsid w:val="1B090D3B"/>
    <w:rsid w:val="1BEE01D9"/>
    <w:rsid w:val="1DD9198E"/>
    <w:rsid w:val="1DDF7C04"/>
    <w:rsid w:val="1DF00D78"/>
    <w:rsid w:val="1E8606ED"/>
    <w:rsid w:val="1F983897"/>
    <w:rsid w:val="247B1229"/>
    <w:rsid w:val="253D5533"/>
    <w:rsid w:val="258874A7"/>
    <w:rsid w:val="259B3EDE"/>
    <w:rsid w:val="25F0248B"/>
    <w:rsid w:val="269E1AE0"/>
    <w:rsid w:val="27463420"/>
    <w:rsid w:val="295D3A99"/>
    <w:rsid w:val="2A5D28F9"/>
    <w:rsid w:val="2B7B16B3"/>
    <w:rsid w:val="2F8742E1"/>
    <w:rsid w:val="2FA90493"/>
    <w:rsid w:val="321C5CB2"/>
    <w:rsid w:val="34502BDB"/>
    <w:rsid w:val="353A7AB7"/>
    <w:rsid w:val="35C9315D"/>
    <w:rsid w:val="36430044"/>
    <w:rsid w:val="36EF006E"/>
    <w:rsid w:val="37213D29"/>
    <w:rsid w:val="380A60B3"/>
    <w:rsid w:val="391F541C"/>
    <w:rsid w:val="3A77227A"/>
    <w:rsid w:val="3AA86B61"/>
    <w:rsid w:val="3CE34EAB"/>
    <w:rsid w:val="3DFC1E32"/>
    <w:rsid w:val="3DFC3CBF"/>
    <w:rsid w:val="3E057984"/>
    <w:rsid w:val="3E0F14D8"/>
    <w:rsid w:val="3E900D92"/>
    <w:rsid w:val="40925627"/>
    <w:rsid w:val="425C3893"/>
    <w:rsid w:val="42F55D2B"/>
    <w:rsid w:val="432917FA"/>
    <w:rsid w:val="44B22B0D"/>
    <w:rsid w:val="452659BE"/>
    <w:rsid w:val="47511730"/>
    <w:rsid w:val="477311C9"/>
    <w:rsid w:val="48D54C71"/>
    <w:rsid w:val="4988642A"/>
    <w:rsid w:val="4A0A0924"/>
    <w:rsid w:val="4A1726EE"/>
    <w:rsid w:val="4A303725"/>
    <w:rsid w:val="4A6A33A9"/>
    <w:rsid w:val="4A741418"/>
    <w:rsid w:val="4BF930AB"/>
    <w:rsid w:val="4C3B7A88"/>
    <w:rsid w:val="4D436B8B"/>
    <w:rsid w:val="4ED65758"/>
    <w:rsid w:val="50A6405F"/>
    <w:rsid w:val="50C65266"/>
    <w:rsid w:val="537A1E73"/>
    <w:rsid w:val="5413425D"/>
    <w:rsid w:val="54F61A33"/>
    <w:rsid w:val="556666D5"/>
    <w:rsid w:val="56100BFC"/>
    <w:rsid w:val="564D059A"/>
    <w:rsid w:val="58825B29"/>
    <w:rsid w:val="5AD80722"/>
    <w:rsid w:val="5C7D0FFE"/>
    <w:rsid w:val="5D7F6C71"/>
    <w:rsid w:val="60A46881"/>
    <w:rsid w:val="60B96269"/>
    <w:rsid w:val="60C846E2"/>
    <w:rsid w:val="63497F31"/>
    <w:rsid w:val="64DA405D"/>
    <w:rsid w:val="651A0C19"/>
    <w:rsid w:val="65C3030C"/>
    <w:rsid w:val="66EA04C9"/>
    <w:rsid w:val="672F7A45"/>
    <w:rsid w:val="682C72B2"/>
    <w:rsid w:val="68EC6E58"/>
    <w:rsid w:val="6C4106CC"/>
    <w:rsid w:val="6C773F36"/>
    <w:rsid w:val="6CC86594"/>
    <w:rsid w:val="6D8967FD"/>
    <w:rsid w:val="6DC366E1"/>
    <w:rsid w:val="6DF254D4"/>
    <w:rsid w:val="6F1654F2"/>
    <w:rsid w:val="6FEF6E58"/>
    <w:rsid w:val="7199186B"/>
    <w:rsid w:val="71B44793"/>
    <w:rsid w:val="72405D25"/>
    <w:rsid w:val="72707FCC"/>
    <w:rsid w:val="734D1831"/>
    <w:rsid w:val="75276451"/>
    <w:rsid w:val="75325449"/>
    <w:rsid w:val="75E937BB"/>
    <w:rsid w:val="764B55B9"/>
    <w:rsid w:val="76D8421F"/>
    <w:rsid w:val="773972F6"/>
    <w:rsid w:val="785C4770"/>
    <w:rsid w:val="793F73F3"/>
    <w:rsid w:val="7A3D2CC4"/>
    <w:rsid w:val="7A735214"/>
    <w:rsid w:val="7BEC14D9"/>
    <w:rsid w:val="7C80111F"/>
    <w:rsid w:val="7DD03374"/>
    <w:rsid w:val="7F355C97"/>
    <w:rsid w:val="7FBE0673"/>
    <w:rsid w:val="7FEA1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autoRedefine/>
    <w:qFormat/>
    <w:uiPriority w:val="0"/>
    <w:pPr>
      <w:keepNext/>
      <w:keepLines/>
      <w:spacing w:before="100" w:after="100" w:line="377" w:lineRule="auto"/>
      <w:ind w:firstLine="766" w:firstLineChars="200"/>
      <w:outlineLvl w:val="3"/>
    </w:pPr>
    <w:rPr>
      <w:rFonts w:ascii="Arial" w:hAnsi="Arial" w:eastAsia="黑体"/>
      <w:b/>
      <w:bCs/>
      <w:szCs w:val="28"/>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2"/>
    <w:autoRedefine/>
    <w:qFormat/>
    <w:uiPriority w:val="0"/>
    <w:pPr>
      <w:ind w:firstLine="420"/>
    </w:pPr>
  </w:style>
  <w:style w:type="paragraph" w:styleId="4">
    <w:name w:val="footer"/>
    <w:basedOn w:val="1"/>
    <w:link w:val="15"/>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4"/>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oc 2"/>
    <w:basedOn w:val="1"/>
    <w:next w:val="1"/>
    <w:autoRedefine/>
    <w:qFormat/>
    <w:uiPriority w:val="0"/>
    <w:pPr>
      <w:ind w:left="240"/>
    </w:pPr>
    <w:rPr>
      <w:rFonts w:ascii="Calibri" w:hAnsi="Calibri"/>
      <w:smallCaps/>
      <w:sz w:val="20"/>
    </w:rPr>
  </w:style>
  <w:style w:type="table" w:styleId="8">
    <w:name w:val="Table Grid"/>
    <w:basedOn w:val="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样式 样式 样式 四号 左侧:  1.53 厘米 + 首行缩进:  2 字符 + 居中 左侧:  2 字符 首行缩进:  2..."/>
    <w:basedOn w:val="12"/>
    <w:qFormat/>
    <w:uiPriority w:val="0"/>
    <w:pPr>
      <w:adjustRightInd w:val="0"/>
      <w:ind w:left="200" w:leftChars="200"/>
      <w:jc w:val="center"/>
    </w:pPr>
    <w:rPr>
      <w:w w:val="90"/>
      <w:sz w:val="28"/>
      <w:szCs w:val="20"/>
    </w:rPr>
  </w:style>
  <w:style w:type="paragraph" w:customStyle="1" w:styleId="12">
    <w:name w:val="样式 样式 四号 左侧:  1.53 厘米 + 首行缩进:  2 字符"/>
    <w:basedOn w:val="13"/>
    <w:qFormat/>
    <w:uiPriority w:val="0"/>
    <w:pPr>
      <w:ind w:left="200" w:leftChars="200"/>
    </w:pPr>
    <w:rPr>
      <w:szCs w:val="20"/>
    </w:rPr>
  </w:style>
  <w:style w:type="paragraph" w:customStyle="1" w:styleId="13">
    <w:name w:val="样式 四号 左侧:  1.53 厘米"/>
    <w:basedOn w:val="1"/>
    <w:autoRedefine/>
    <w:qFormat/>
    <w:uiPriority w:val="0"/>
    <w:pPr>
      <w:adjustRightInd w:val="0"/>
    </w:pPr>
    <w:rPr>
      <w:w w:val="90"/>
      <w:sz w:val="28"/>
      <w:szCs w:val="28"/>
    </w:rPr>
  </w:style>
  <w:style w:type="character" w:customStyle="1" w:styleId="14">
    <w:name w:val="页眉 Char"/>
    <w:basedOn w:val="9"/>
    <w:link w:val="5"/>
    <w:semiHidden/>
    <w:qFormat/>
    <w:uiPriority w:val="99"/>
    <w:rPr>
      <w:sz w:val="18"/>
      <w:szCs w:val="18"/>
    </w:rPr>
  </w:style>
  <w:style w:type="character" w:customStyle="1" w:styleId="15">
    <w:name w:val="页脚 Char"/>
    <w:basedOn w:val="9"/>
    <w:link w:val="4"/>
    <w:semiHidden/>
    <w:qFormat/>
    <w:uiPriority w:val="99"/>
    <w:rPr>
      <w:sz w:val="18"/>
      <w:szCs w:val="18"/>
    </w:rPr>
  </w:style>
  <w:style w:type="paragraph" w:customStyle="1" w:styleId="16">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635CF-70B8-409B-A310-DE74B3DAFF8B}">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2</Pages>
  <Words>1769</Words>
  <Characters>1925</Characters>
  <Lines>9</Lines>
  <Paragraphs>2</Paragraphs>
  <TotalTime>7</TotalTime>
  <ScaleCrop>false</ScaleCrop>
  <LinksUpToDate>false</LinksUpToDate>
  <CharactersWithSpaces>2029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2018-03-26T01:28:00Z</dcterms:created>
  <dc:creator>桑三博客</dc:creator>
  <cp:lastModifiedBy>初栀</cp:lastModifiedBy>
  <cp:lastPrinted>2023-05-22T06:58:00Z</cp:lastPrinted>
  <dcterms:modified xsi:type="dcterms:W3CDTF">2024-06-24T06:39:05Z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C7D5036CD2794381A3611AD522CDD8CA</vt:lpwstr>
  </property>
</Properties>
</file>