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27" w:tblpY="1202"/>
        <w:tblOverlap w:val="never"/>
        <w:tblW w:w="9642"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642"/>
      </w:tblGrid>
      <w:tr w14:paraId="5D752CB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3991" w:hRule="exact"/>
          <w:jc w:val="center"/>
        </w:trPr>
        <w:tc>
          <w:tcPr>
            <w:tcW w:w="9642" w:type="dxa"/>
          </w:tcPr>
          <w:p w14:paraId="75D79808">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jc w:val="left"/>
              <w:textAlignment w:val="auto"/>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b/>
                <w:bCs/>
                <w:color w:val="191919"/>
                <w:kern w:val="2"/>
                <w:sz w:val="24"/>
                <w:szCs w:val="24"/>
                <w:shd w:val="clear" w:color="auto" w:fill="FFFFFF"/>
                <w:lang w:val="en-US" w:eastAsia="zh-CN" w:bidi="ar-SA"/>
              </w:rPr>
              <w:t>生态环境主管部门审批意见：</w:t>
            </w:r>
            <w:r>
              <w:rPr>
                <w:rFonts w:hint="eastAsia" w:ascii="仿宋" w:hAnsi="仿宋" w:eastAsia="仿宋" w:cs="仿宋"/>
                <w:b/>
                <w:bCs/>
                <w:color w:val="191919"/>
                <w:kern w:val="2"/>
                <w:sz w:val="32"/>
                <w:szCs w:val="32"/>
                <w:shd w:val="clear" w:color="auto" w:fill="FFFFFF"/>
                <w:lang w:val="en-US" w:eastAsia="zh-CN" w:bidi="ar-SA"/>
              </w:rPr>
              <w:t xml:space="preserve"> </w:t>
            </w:r>
            <w:r>
              <w:rPr>
                <w:rFonts w:hint="eastAsia" w:ascii="仿宋" w:hAnsi="仿宋" w:eastAsia="仿宋" w:cs="仿宋"/>
                <w:b/>
                <w:bCs/>
                <w:color w:val="191919"/>
                <w:kern w:val="2"/>
                <w:sz w:val="28"/>
                <w:szCs w:val="28"/>
                <w:shd w:val="clear" w:color="auto" w:fill="FFFFFF"/>
                <w:lang w:val="en-US" w:eastAsia="zh-CN" w:bidi="ar-SA"/>
              </w:rPr>
              <w:t xml:space="preserve">   </w:t>
            </w:r>
            <w:r>
              <w:rPr>
                <w:rFonts w:hint="eastAsia" w:ascii="仿宋" w:hAnsi="仿宋" w:eastAsia="仿宋" w:cs="仿宋"/>
                <w:b/>
                <w:bCs w:val="0"/>
                <w:kern w:val="2"/>
                <w:sz w:val="24"/>
                <w:szCs w:val="24"/>
                <w:lang w:val="en-US" w:eastAsia="zh-CN" w:bidi="ar-SA"/>
              </w:rPr>
              <w:t xml:space="preserve">  </w:t>
            </w:r>
            <w:r>
              <w:rPr>
                <w:rFonts w:hint="eastAsia" w:ascii="仿宋" w:hAnsi="仿宋" w:eastAsia="仿宋" w:cs="仿宋"/>
                <w:kern w:val="2"/>
                <w:sz w:val="18"/>
                <w:szCs w:val="18"/>
                <w:lang w:val="en-US" w:eastAsia="zh-CN" w:bidi="ar-SA"/>
              </w:rPr>
              <w:t xml:space="preserve">      </w:t>
            </w:r>
            <w:r>
              <w:rPr>
                <w:rFonts w:hint="eastAsia" w:ascii="仿宋" w:hAnsi="仿宋" w:eastAsia="仿宋" w:cs="仿宋"/>
                <w:b/>
                <w:bCs/>
                <w:color w:val="191919"/>
                <w:kern w:val="2"/>
                <w:sz w:val="28"/>
                <w:szCs w:val="28"/>
                <w:shd w:val="clear" w:color="auto" w:fill="FFFFFF"/>
                <w:lang w:val="en-US" w:eastAsia="zh-CN" w:bidi="ar-SA"/>
              </w:rPr>
              <w:t xml:space="preserve">            </w:t>
            </w:r>
            <w:r>
              <w:rPr>
                <w:rFonts w:hint="eastAsia" w:ascii="仿宋" w:hAnsi="仿宋" w:eastAsia="仿宋" w:cs="仿宋"/>
                <w:kern w:val="2"/>
                <w:sz w:val="21"/>
                <w:szCs w:val="21"/>
                <w:lang w:val="en-US" w:eastAsia="zh-CN" w:bidi="ar-SA"/>
              </w:rPr>
              <w:t xml:space="preserve">       </w:t>
            </w:r>
            <w:bookmarkStart w:id="0" w:name="_GoBack"/>
            <w:bookmarkEnd w:id="0"/>
            <w:r>
              <w:rPr>
                <w:rFonts w:hint="eastAsia" w:ascii="仿宋" w:hAnsi="仿宋" w:eastAsia="仿宋" w:cs="仿宋"/>
                <w:kern w:val="2"/>
                <w:sz w:val="21"/>
                <w:szCs w:val="21"/>
                <w:lang w:val="en-US" w:eastAsia="zh-CN" w:bidi="ar-SA"/>
              </w:rPr>
              <w:t xml:space="preserve"> 隆环评〔2025〕8号 </w:t>
            </w:r>
            <w:r>
              <w:rPr>
                <w:rFonts w:hint="eastAsia" w:ascii="仿宋" w:hAnsi="仿宋" w:eastAsia="仿宋" w:cs="仿宋"/>
                <w:b/>
                <w:bCs/>
                <w:color w:val="191919"/>
                <w:kern w:val="2"/>
                <w:sz w:val="28"/>
                <w:szCs w:val="28"/>
                <w:shd w:val="clear" w:color="auto" w:fill="FFFFFF"/>
                <w:lang w:val="en-US" w:eastAsia="zh-CN" w:bidi="ar-SA"/>
              </w:rPr>
              <w:t xml:space="preserve"> </w:t>
            </w:r>
            <w:r>
              <w:rPr>
                <w:rFonts w:hint="eastAsia" w:ascii="仿宋" w:hAnsi="仿宋" w:eastAsia="仿宋" w:cs="仿宋"/>
                <w:color w:val="191919"/>
                <w:kern w:val="2"/>
                <w:sz w:val="21"/>
                <w:szCs w:val="21"/>
                <w:shd w:val="clear" w:color="auto" w:fill="FFFFFF"/>
                <w:lang w:val="en-US" w:eastAsia="zh-CN" w:bidi="ar-SA"/>
              </w:rPr>
              <w:t xml:space="preserve">             </w:t>
            </w:r>
          </w:p>
          <w:p w14:paraId="1057D8CC">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color w:val="191919"/>
                <w:kern w:val="2"/>
                <w:sz w:val="21"/>
                <w:szCs w:val="21"/>
                <w:shd w:val="clear" w:color="auto" w:fill="FFFFFF"/>
                <w:lang w:val="en-US" w:eastAsia="zh-CN" w:bidi="ar-SA"/>
              </w:rPr>
              <w:t>承德市瑞隆建材有限公司石膏粉与石膏制品加工</w:t>
            </w:r>
            <w:r>
              <w:rPr>
                <w:rFonts w:hint="eastAsia" w:ascii="仿宋" w:hAnsi="仿宋" w:eastAsia="仿宋" w:cs="仿宋"/>
                <w:kern w:val="2"/>
                <w:sz w:val="21"/>
                <w:szCs w:val="21"/>
                <w:lang w:val="en-US" w:eastAsia="zh-CN" w:bidi="ar-SA"/>
              </w:rPr>
              <w:t>项目位于承德市隆化县苔山镇河北隆化经济开发区，项目中心点坐标为：东经：</w:t>
            </w:r>
            <w:r>
              <w:rPr>
                <w:rFonts w:hint="default" w:ascii="仿宋" w:hAnsi="仿宋" w:eastAsia="仿宋" w:cs="仿宋"/>
                <w:kern w:val="2"/>
                <w:sz w:val="21"/>
                <w:szCs w:val="21"/>
                <w:lang w:val="en-US" w:eastAsia="zh-CN" w:bidi="ar-SA"/>
              </w:rPr>
              <w:t xml:space="preserve">117 </w:t>
            </w:r>
            <w:r>
              <w:rPr>
                <w:rFonts w:hint="eastAsia" w:ascii="仿宋" w:hAnsi="仿宋" w:eastAsia="仿宋" w:cs="仿宋"/>
                <w:kern w:val="2"/>
                <w:sz w:val="21"/>
                <w:szCs w:val="21"/>
                <w:lang w:val="en-US" w:eastAsia="zh-CN" w:bidi="ar-SA"/>
              </w:rPr>
              <w:t xml:space="preserve">度 </w:t>
            </w:r>
            <w:r>
              <w:rPr>
                <w:rFonts w:hint="default" w:ascii="仿宋" w:hAnsi="仿宋" w:eastAsia="仿宋" w:cs="仿宋"/>
                <w:kern w:val="2"/>
                <w:sz w:val="21"/>
                <w:szCs w:val="21"/>
                <w:lang w:val="en-US" w:eastAsia="zh-CN" w:bidi="ar-SA"/>
              </w:rPr>
              <w:t xml:space="preserve">40 </w:t>
            </w:r>
            <w:r>
              <w:rPr>
                <w:rFonts w:hint="eastAsia" w:ascii="仿宋" w:hAnsi="仿宋" w:eastAsia="仿宋" w:cs="仿宋"/>
                <w:kern w:val="2"/>
                <w:sz w:val="21"/>
                <w:szCs w:val="21"/>
                <w:lang w:val="en-US" w:eastAsia="zh-CN" w:bidi="ar-SA"/>
              </w:rPr>
              <w:t xml:space="preserve">分 </w:t>
            </w:r>
            <w:r>
              <w:rPr>
                <w:rFonts w:hint="default" w:ascii="仿宋" w:hAnsi="仿宋" w:eastAsia="仿宋" w:cs="仿宋"/>
                <w:kern w:val="2"/>
                <w:sz w:val="21"/>
                <w:szCs w:val="21"/>
                <w:lang w:val="en-US" w:eastAsia="zh-CN" w:bidi="ar-SA"/>
              </w:rPr>
              <w:t xml:space="preserve">55.714 </w:t>
            </w:r>
            <w:r>
              <w:rPr>
                <w:rFonts w:hint="eastAsia" w:ascii="仿宋" w:hAnsi="仿宋" w:eastAsia="仿宋" w:cs="仿宋"/>
                <w:kern w:val="2"/>
                <w:sz w:val="21"/>
                <w:szCs w:val="21"/>
                <w:lang w:val="en-US" w:eastAsia="zh-CN" w:bidi="ar-SA"/>
              </w:rPr>
              <w:t xml:space="preserve">秒， </w:t>
            </w:r>
            <w:r>
              <w:rPr>
                <w:rFonts w:hint="default" w:ascii="仿宋" w:hAnsi="仿宋" w:eastAsia="仿宋" w:cs="仿宋"/>
                <w:kern w:val="2"/>
                <w:sz w:val="21"/>
                <w:szCs w:val="21"/>
                <w:lang w:val="en-US" w:eastAsia="zh-CN" w:bidi="ar-SA"/>
              </w:rPr>
              <w:t xml:space="preserve">41 </w:t>
            </w:r>
            <w:r>
              <w:rPr>
                <w:rFonts w:hint="eastAsia" w:ascii="仿宋" w:hAnsi="仿宋" w:eastAsia="仿宋" w:cs="仿宋"/>
                <w:kern w:val="2"/>
                <w:sz w:val="21"/>
                <w:szCs w:val="21"/>
                <w:lang w:val="en-US" w:eastAsia="zh-CN" w:bidi="ar-SA"/>
              </w:rPr>
              <w:t xml:space="preserve">度 </w:t>
            </w:r>
            <w:r>
              <w:rPr>
                <w:rFonts w:hint="default" w:ascii="仿宋" w:hAnsi="仿宋" w:eastAsia="仿宋" w:cs="仿宋"/>
                <w:kern w:val="2"/>
                <w:sz w:val="21"/>
                <w:szCs w:val="21"/>
                <w:lang w:val="en-US" w:eastAsia="zh-CN" w:bidi="ar-SA"/>
              </w:rPr>
              <w:t xml:space="preserve">14 </w:t>
            </w:r>
            <w:r>
              <w:rPr>
                <w:rFonts w:hint="eastAsia" w:ascii="仿宋" w:hAnsi="仿宋" w:eastAsia="仿宋" w:cs="仿宋"/>
                <w:kern w:val="2"/>
                <w:sz w:val="21"/>
                <w:szCs w:val="21"/>
                <w:lang w:val="en-US" w:eastAsia="zh-CN" w:bidi="ar-SA"/>
              </w:rPr>
              <w:t xml:space="preserve">分 </w:t>
            </w:r>
            <w:r>
              <w:rPr>
                <w:rFonts w:hint="default" w:ascii="仿宋" w:hAnsi="仿宋" w:eastAsia="仿宋" w:cs="仿宋"/>
                <w:kern w:val="2"/>
                <w:sz w:val="21"/>
                <w:szCs w:val="21"/>
                <w:lang w:val="en-US" w:eastAsia="zh-CN" w:bidi="ar-SA"/>
              </w:rPr>
              <w:t xml:space="preserve">28.100 </w:t>
            </w:r>
            <w:r>
              <w:rPr>
                <w:rFonts w:hint="eastAsia" w:ascii="仿宋" w:hAnsi="仿宋" w:eastAsia="仿宋" w:cs="仿宋"/>
                <w:kern w:val="2"/>
                <w:sz w:val="21"/>
                <w:szCs w:val="21"/>
                <w:lang w:val="en-US" w:eastAsia="zh-CN" w:bidi="ar-SA"/>
              </w:rPr>
              <w:t>秒。总投资3000万元，环保投资100万元。主要建设内容及规模：项目总占地面积</w:t>
            </w:r>
            <w:r>
              <w:rPr>
                <w:rFonts w:hint="default" w:ascii="仿宋" w:hAnsi="仿宋" w:eastAsia="仿宋" w:cs="仿宋"/>
                <w:kern w:val="2"/>
                <w:sz w:val="21"/>
                <w:szCs w:val="21"/>
                <w:lang w:val="en-US" w:eastAsia="zh-CN" w:bidi="ar-SA"/>
              </w:rPr>
              <w:t>2800</w:t>
            </w:r>
            <w:r>
              <w:rPr>
                <w:rFonts w:hint="eastAsia" w:ascii="仿宋" w:hAnsi="仿宋" w:eastAsia="仿宋" w:cs="仿宋"/>
                <w:kern w:val="2"/>
                <w:sz w:val="21"/>
                <w:szCs w:val="21"/>
                <w:lang w:val="en-US" w:eastAsia="zh-CN" w:bidi="ar-SA"/>
              </w:rPr>
              <w:t>平方米，建设生产车间、库房及其他附属用房。建设</w:t>
            </w:r>
            <w:r>
              <w:rPr>
                <w:rFonts w:hint="default" w:ascii="仿宋" w:hAnsi="仿宋" w:eastAsia="仿宋" w:cs="仿宋"/>
                <w:kern w:val="2"/>
                <w:sz w:val="21"/>
                <w:szCs w:val="21"/>
                <w:lang w:val="en-US" w:eastAsia="zh-CN" w:bidi="ar-SA"/>
              </w:rPr>
              <w:t>15</w:t>
            </w:r>
            <w:r>
              <w:rPr>
                <w:rFonts w:hint="eastAsia" w:ascii="仿宋" w:hAnsi="仿宋" w:eastAsia="仿宋" w:cs="仿宋"/>
                <w:kern w:val="2"/>
                <w:sz w:val="21"/>
                <w:szCs w:val="21"/>
                <w:lang w:val="en-US" w:eastAsia="zh-CN" w:bidi="ar-SA"/>
              </w:rPr>
              <w:t xml:space="preserve">万吨石膏粉生产线一条，年产石膏粉 </w:t>
            </w:r>
            <w:r>
              <w:rPr>
                <w:rFonts w:hint="default" w:ascii="仿宋" w:hAnsi="仿宋" w:eastAsia="仿宋" w:cs="仿宋"/>
                <w:kern w:val="2"/>
                <w:sz w:val="21"/>
                <w:szCs w:val="21"/>
                <w:lang w:val="en-US" w:eastAsia="zh-CN" w:bidi="ar-SA"/>
              </w:rPr>
              <w:t xml:space="preserve">15 </w:t>
            </w:r>
            <w:r>
              <w:rPr>
                <w:rFonts w:hint="eastAsia" w:ascii="仿宋" w:hAnsi="仿宋" w:eastAsia="仿宋" w:cs="仿宋"/>
                <w:kern w:val="2"/>
                <w:sz w:val="21"/>
                <w:szCs w:val="21"/>
                <w:lang w:val="en-US" w:eastAsia="zh-CN" w:bidi="ar-SA"/>
              </w:rPr>
              <w:t>万吨。</w:t>
            </w:r>
          </w:p>
          <w:p w14:paraId="3A2211EE">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经审查，项目建设取得了隆化县数据和政务服务局出具的企业投资项目备案信息（备案编号：隆数政投资备〔2024〕159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14:paraId="297F6462">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（一）加强环境管理</w:t>
            </w:r>
          </w:p>
          <w:p w14:paraId="102BF910">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厂区现有环境问题整改到位。</w:t>
            </w:r>
          </w:p>
          <w:p w14:paraId="5E2EBB12">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（二）落实各项污染防治措施。</w:t>
            </w:r>
          </w:p>
          <w:p w14:paraId="431B2D95">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项目建设过程中工人生活污水产生量较少，主要是工人的盥洗用水，水质较为清洁，泼洒至施工现场防渗化粪池，清掏用作农肥，不外排。营运期项目无生产废水产生，生活污水经厂区化粪池处理后，排入隆化县蓝旗镇污水处理站处理，生活污水排放需满足《污水综合排放标准》（</w:t>
            </w:r>
            <w:r>
              <w:rPr>
                <w:rFonts w:hint="default" w:ascii="仿宋" w:hAnsi="仿宋" w:eastAsia="仿宋" w:cs="仿宋"/>
                <w:kern w:val="2"/>
                <w:sz w:val="21"/>
                <w:szCs w:val="21"/>
                <w:lang w:val="en-US" w:eastAsia="zh-CN" w:bidi="ar-SA"/>
              </w:rPr>
              <w:t>GB8978-1996</w:t>
            </w:r>
            <w:r>
              <w:rPr>
                <w:rFonts w:hint="eastAsia" w:ascii="仿宋" w:hAnsi="仿宋" w:eastAsia="仿宋" w:cs="仿宋"/>
                <w:kern w:val="2"/>
                <w:sz w:val="21"/>
                <w:szCs w:val="21"/>
                <w:lang w:val="en-US" w:eastAsia="zh-CN" w:bidi="ar-SA"/>
              </w:rPr>
              <w:t xml:space="preserve">）表 </w:t>
            </w:r>
            <w:r>
              <w:rPr>
                <w:rFonts w:hint="default" w:ascii="仿宋" w:hAnsi="仿宋" w:eastAsia="仿宋" w:cs="仿宋"/>
                <w:kern w:val="2"/>
                <w:sz w:val="21"/>
                <w:szCs w:val="21"/>
                <w:lang w:val="en-US" w:eastAsia="zh-CN" w:bidi="ar-SA"/>
              </w:rPr>
              <w:t xml:space="preserve">4 </w:t>
            </w:r>
            <w:r>
              <w:rPr>
                <w:rFonts w:hint="eastAsia" w:ascii="仿宋" w:hAnsi="仿宋" w:eastAsia="仿宋" w:cs="仿宋"/>
                <w:kern w:val="2"/>
                <w:sz w:val="21"/>
                <w:szCs w:val="21"/>
                <w:lang w:val="en-US" w:eastAsia="zh-CN" w:bidi="ar-SA"/>
              </w:rPr>
              <w:t>三级标准限值要求以及隆化县蓝旗镇污水处理站进水水质要求。</w:t>
            </w:r>
          </w:p>
          <w:p w14:paraId="2D166420">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2.施工期产生污染物主要为运输扬尘和车辆产生的尾气，经过封闭运输、道路洒水、加强对运输车辆的检修和维护等措施，施工期扬尘执行《施工场地扬尘排放标准》（</w:t>
            </w:r>
            <w:r>
              <w:rPr>
                <w:rFonts w:hint="default" w:ascii="仿宋" w:hAnsi="仿宋" w:eastAsia="仿宋" w:cs="仿宋"/>
                <w:kern w:val="2"/>
                <w:sz w:val="21"/>
                <w:szCs w:val="21"/>
                <w:lang w:val="en-US" w:eastAsia="zh-CN" w:bidi="ar-SA"/>
              </w:rPr>
              <w:t>DB13/2934-2019</w:t>
            </w:r>
            <w:r>
              <w:rPr>
                <w:rFonts w:hint="eastAsia" w:ascii="仿宋" w:hAnsi="仿宋" w:eastAsia="仿宋" w:cs="仿宋"/>
                <w:kern w:val="2"/>
                <w:sz w:val="21"/>
                <w:szCs w:val="21"/>
                <w:lang w:val="en-US" w:eastAsia="zh-CN" w:bidi="ar-SA"/>
              </w:rPr>
              <w:t>）表</w:t>
            </w:r>
            <w:r>
              <w:rPr>
                <w:rFonts w:hint="default" w:ascii="仿宋" w:hAnsi="仿宋" w:eastAsia="仿宋" w:cs="仿宋"/>
                <w:kern w:val="2"/>
                <w:sz w:val="21"/>
                <w:szCs w:val="21"/>
                <w:lang w:val="en-US" w:eastAsia="zh-CN" w:bidi="ar-SA"/>
              </w:rPr>
              <w:t>1</w:t>
            </w:r>
            <w:r>
              <w:rPr>
                <w:rFonts w:hint="eastAsia" w:ascii="仿宋" w:hAnsi="仿宋" w:eastAsia="仿宋" w:cs="仿宋"/>
                <w:kern w:val="2"/>
                <w:sz w:val="21"/>
                <w:szCs w:val="21"/>
                <w:lang w:val="en-US" w:eastAsia="zh-CN" w:bidi="ar-SA"/>
              </w:rPr>
              <w:t>扬尘排放浓度限值。运营期破碎、筛分、干燥、烘干、冷却、笼式破碎过程产生的颗粒物执行《大气污染物综合排放标准》（</w:t>
            </w:r>
            <w:r>
              <w:rPr>
                <w:rFonts w:hint="default" w:ascii="仿宋" w:hAnsi="仿宋" w:eastAsia="仿宋" w:cs="仿宋"/>
                <w:kern w:val="2"/>
                <w:sz w:val="21"/>
                <w:szCs w:val="21"/>
                <w:lang w:val="en-US" w:eastAsia="zh-CN" w:bidi="ar-SA"/>
              </w:rPr>
              <w:t>GB 16297-1996</w:t>
            </w:r>
            <w:r>
              <w:rPr>
                <w:rFonts w:hint="eastAsia" w:ascii="仿宋" w:hAnsi="仿宋" w:eastAsia="仿宋" w:cs="仿宋"/>
                <w:kern w:val="2"/>
                <w:sz w:val="21"/>
                <w:szCs w:val="21"/>
                <w:lang w:val="en-US" w:eastAsia="zh-CN" w:bidi="ar-SA"/>
              </w:rPr>
              <w:t xml:space="preserve">）表 </w:t>
            </w:r>
            <w:r>
              <w:rPr>
                <w:rFonts w:hint="default" w:ascii="仿宋" w:hAnsi="仿宋" w:eastAsia="仿宋" w:cs="仿宋"/>
                <w:kern w:val="2"/>
                <w:sz w:val="21"/>
                <w:szCs w:val="21"/>
                <w:lang w:val="en-US" w:eastAsia="zh-CN" w:bidi="ar-SA"/>
              </w:rPr>
              <w:t xml:space="preserve">2 </w:t>
            </w:r>
            <w:r>
              <w:rPr>
                <w:rFonts w:hint="eastAsia" w:ascii="仿宋" w:hAnsi="仿宋" w:eastAsia="仿宋" w:cs="仿宋"/>
                <w:kern w:val="2"/>
                <w:sz w:val="21"/>
                <w:szCs w:val="21"/>
                <w:lang w:val="en-US" w:eastAsia="zh-CN" w:bidi="ar-SA"/>
              </w:rPr>
              <w:t>限值标准要求，无组织废气执行《大气污染物综合排放标准》（</w:t>
            </w:r>
            <w:r>
              <w:rPr>
                <w:rFonts w:hint="default" w:ascii="仿宋" w:hAnsi="仿宋" w:eastAsia="仿宋" w:cs="仿宋"/>
                <w:kern w:val="2"/>
                <w:sz w:val="21"/>
                <w:szCs w:val="21"/>
                <w:lang w:val="en-US" w:eastAsia="zh-CN" w:bidi="ar-SA"/>
              </w:rPr>
              <w:t>GB 16297-1996</w:t>
            </w:r>
            <w:r>
              <w:rPr>
                <w:rFonts w:hint="eastAsia" w:ascii="仿宋" w:hAnsi="仿宋" w:eastAsia="仿宋" w:cs="仿宋"/>
                <w:kern w:val="2"/>
                <w:sz w:val="21"/>
                <w:szCs w:val="21"/>
                <w:lang w:val="en-US" w:eastAsia="zh-CN" w:bidi="ar-SA"/>
              </w:rPr>
              <w:t xml:space="preserve">）表 </w:t>
            </w:r>
            <w:r>
              <w:rPr>
                <w:rFonts w:hint="default" w:ascii="仿宋" w:hAnsi="仿宋" w:eastAsia="仿宋" w:cs="仿宋"/>
                <w:kern w:val="2"/>
                <w:sz w:val="21"/>
                <w:szCs w:val="21"/>
                <w:lang w:val="en-US" w:eastAsia="zh-CN" w:bidi="ar-SA"/>
              </w:rPr>
              <w:t xml:space="preserve">2 </w:t>
            </w:r>
            <w:r>
              <w:rPr>
                <w:rFonts w:hint="eastAsia" w:ascii="仿宋" w:hAnsi="仿宋" w:eastAsia="仿宋" w:cs="仿宋"/>
                <w:kern w:val="2"/>
                <w:sz w:val="21"/>
                <w:szCs w:val="21"/>
                <w:lang w:val="en-US" w:eastAsia="zh-CN" w:bidi="ar-SA"/>
              </w:rPr>
              <w:t>厂界无组织限值标准要求；生物质热风系统燃烧废气执行《工业炉窑大气污染物排放标准》（</w:t>
            </w:r>
            <w:r>
              <w:rPr>
                <w:rFonts w:hint="default" w:ascii="仿宋" w:hAnsi="仿宋" w:eastAsia="仿宋" w:cs="仿宋"/>
                <w:kern w:val="2"/>
                <w:sz w:val="21"/>
                <w:szCs w:val="21"/>
                <w:lang w:val="en-US" w:eastAsia="zh-CN" w:bidi="ar-SA"/>
              </w:rPr>
              <w:t>DB13/1640-2012</w:t>
            </w:r>
            <w:r>
              <w:rPr>
                <w:rFonts w:hint="eastAsia" w:ascii="仿宋" w:hAnsi="仿宋" w:eastAsia="仿宋" w:cs="仿宋"/>
                <w:kern w:val="2"/>
                <w:sz w:val="21"/>
                <w:szCs w:val="21"/>
                <w:lang w:val="en-US" w:eastAsia="zh-CN" w:bidi="ar-SA"/>
              </w:rPr>
              <w:t>）排放限值要求，以及满足《承德市工业炉窑综合治理实施方案》（承环办〔</w:t>
            </w:r>
            <w:r>
              <w:rPr>
                <w:rFonts w:hint="default" w:ascii="仿宋" w:hAnsi="仿宋" w:eastAsia="仿宋" w:cs="仿宋"/>
                <w:kern w:val="2"/>
                <w:sz w:val="21"/>
                <w:szCs w:val="21"/>
                <w:lang w:val="en-US" w:eastAsia="zh-CN" w:bidi="ar-SA"/>
              </w:rPr>
              <w:t>2020</w:t>
            </w:r>
            <w:r>
              <w:rPr>
                <w:rFonts w:hint="eastAsia" w:ascii="仿宋" w:hAnsi="仿宋" w:eastAsia="仿宋" w:cs="仿宋"/>
                <w:kern w:val="2"/>
                <w:sz w:val="21"/>
                <w:szCs w:val="21"/>
                <w:lang w:val="en-US" w:eastAsia="zh-CN" w:bidi="ar-SA"/>
              </w:rPr>
              <w:t>〕</w:t>
            </w:r>
            <w:r>
              <w:rPr>
                <w:rFonts w:hint="default" w:ascii="仿宋" w:hAnsi="仿宋" w:eastAsia="仿宋" w:cs="仿宋"/>
                <w:kern w:val="2"/>
                <w:sz w:val="21"/>
                <w:szCs w:val="21"/>
                <w:lang w:val="en-US" w:eastAsia="zh-CN" w:bidi="ar-SA"/>
              </w:rPr>
              <w:t xml:space="preserve">72 </w:t>
            </w:r>
            <w:r>
              <w:rPr>
                <w:rFonts w:hint="eastAsia" w:ascii="仿宋" w:hAnsi="仿宋" w:eastAsia="仿宋" w:cs="仿宋"/>
                <w:kern w:val="2"/>
                <w:sz w:val="21"/>
                <w:szCs w:val="21"/>
                <w:lang w:val="en-US" w:eastAsia="zh-CN" w:bidi="ar-SA"/>
              </w:rPr>
              <w:t>号）要求。</w:t>
            </w:r>
          </w:p>
          <w:p w14:paraId="2272FC0B">
            <w:pPr>
              <w:keepNext w:val="0"/>
              <w:keepLines w:val="0"/>
              <w:widowControl/>
              <w:suppressLineNumbers w:val="0"/>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3.项目施工期通过对机械设备的合理布局，合理安排施工时间，并对施工机械采取相应的隔声、减振措施后，施工噪声可满足《建筑施工场界环境噪声排放标准》（</w:t>
            </w:r>
            <w:r>
              <w:rPr>
                <w:rFonts w:hint="default" w:ascii="仿宋" w:hAnsi="仿宋" w:eastAsia="仿宋" w:cs="仿宋"/>
                <w:kern w:val="2"/>
                <w:sz w:val="21"/>
                <w:szCs w:val="21"/>
                <w:lang w:val="en-US" w:eastAsia="zh-CN" w:bidi="ar-SA"/>
              </w:rPr>
              <w:t>GB12523-2011</w:t>
            </w:r>
            <w:r>
              <w:rPr>
                <w:rFonts w:hint="eastAsia" w:ascii="仿宋" w:hAnsi="仿宋" w:eastAsia="仿宋" w:cs="仿宋"/>
                <w:kern w:val="2"/>
                <w:sz w:val="21"/>
                <w:szCs w:val="21"/>
                <w:lang w:val="en-US" w:eastAsia="zh-CN" w:bidi="ar-SA"/>
              </w:rPr>
              <w:t>）标准要求。运营期通过选用低噪声设备、基础减振、车间隔声等措施减振降噪，再经距离衰减，项目厂界贡献值满足《工业企业厂界环境噪声排放标准》（</w:t>
            </w:r>
            <w:r>
              <w:rPr>
                <w:rFonts w:hint="default" w:ascii="仿宋" w:hAnsi="仿宋" w:eastAsia="仿宋" w:cs="仿宋"/>
                <w:kern w:val="2"/>
                <w:sz w:val="21"/>
                <w:szCs w:val="21"/>
                <w:lang w:val="en-US" w:eastAsia="zh-CN" w:bidi="ar-SA"/>
              </w:rPr>
              <w:t>GB12348-2008</w:t>
            </w:r>
            <w:r>
              <w:rPr>
                <w:rFonts w:hint="eastAsia" w:ascii="仿宋" w:hAnsi="仿宋" w:eastAsia="仿宋" w:cs="仿宋"/>
                <w:kern w:val="2"/>
                <w:sz w:val="21"/>
                <w:szCs w:val="21"/>
                <w:lang w:val="en-US" w:eastAsia="zh-CN" w:bidi="ar-SA"/>
              </w:rPr>
              <w:t xml:space="preserve">）中的 </w:t>
            </w:r>
            <w:r>
              <w:rPr>
                <w:rFonts w:hint="default" w:ascii="仿宋" w:hAnsi="仿宋" w:eastAsia="仿宋" w:cs="仿宋"/>
                <w:kern w:val="2"/>
                <w:sz w:val="21"/>
                <w:szCs w:val="21"/>
                <w:lang w:val="en-US" w:eastAsia="zh-CN" w:bidi="ar-SA"/>
              </w:rPr>
              <w:t xml:space="preserve">3 </w:t>
            </w:r>
            <w:r>
              <w:rPr>
                <w:rFonts w:hint="eastAsia" w:ascii="仿宋" w:hAnsi="仿宋" w:eastAsia="仿宋" w:cs="仿宋"/>
                <w:kern w:val="2"/>
                <w:sz w:val="21"/>
                <w:szCs w:val="21"/>
                <w:lang w:val="en-US" w:eastAsia="zh-CN" w:bidi="ar-SA"/>
              </w:rPr>
              <w:t>类标准。</w:t>
            </w:r>
          </w:p>
          <w:p w14:paraId="574B6ABA">
            <w:pPr>
              <w:keepNext w:val="0"/>
              <w:keepLines w:val="0"/>
              <w:widowControl/>
              <w:suppressLineNumbers w:val="0"/>
              <w:ind w:firstLine="420" w:firstLineChars="200"/>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项目施工期产生的垃圾应集中收集后，外售或定期运送至周边生活垃圾收集点，由当地环卫部门统一清运处置。运营期项目生活垃圾定期交由环卫部门清运；铁屑杂质、除尘灰、脱硫废渣、炉渣收集后外售综合利用；废润滑油、废润滑油桶暂置于厂区危废暂存间，定期 交由有资质单位处理 。一般工业固体废物执行《一般工业固体废物贮存和填埋污染控制标准》（GB18599-2020）。危险废物处置执行《危险废物贮存污染控制标准》（</w:t>
            </w:r>
            <w:r>
              <w:rPr>
                <w:rFonts w:hint="default" w:ascii="仿宋" w:hAnsi="仿宋" w:eastAsia="仿宋" w:cs="仿宋"/>
                <w:kern w:val="2"/>
                <w:sz w:val="21"/>
                <w:szCs w:val="21"/>
                <w:lang w:val="en-US" w:eastAsia="zh-CN" w:bidi="ar-SA"/>
              </w:rPr>
              <w:t>GB18597-2023</w:t>
            </w:r>
            <w:r>
              <w:rPr>
                <w:rFonts w:hint="eastAsia" w:ascii="仿宋" w:hAnsi="仿宋" w:eastAsia="仿宋" w:cs="仿宋"/>
                <w:kern w:val="2"/>
                <w:sz w:val="21"/>
                <w:szCs w:val="21"/>
                <w:lang w:val="en-US" w:eastAsia="zh-CN" w:bidi="ar-SA"/>
              </w:rPr>
              <w:t>）相关要求。</w:t>
            </w:r>
          </w:p>
          <w:p w14:paraId="3C803282">
            <w:pPr>
              <w:keepNext w:val="0"/>
              <w:keepLines w:val="0"/>
              <w:widowControl/>
              <w:suppressLineNumbers w:val="0"/>
              <w:ind w:firstLine="420" w:firstLineChars="200"/>
              <w:jc w:val="left"/>
              <w:rPr>
                <w:rFonts w:hint="default" w:ascii="仿宋" w:hAnsi="仿宋" w:eastAsia="仿宋" w:cs="仿宋"/>
                <w:color w:val="0000FF"/>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二、项目建设必须严格执行环境保护设施与主体工程同时设计</w:t>
            </w:r>
            <w:r>
              <w:rPr>
                <w:rFonts w:hint="eastAsia" w:ascii="仿宋" w:hAnsi="仿宋" w:eastAsia="仿宋" w:cs="仿宋"/>
                <w:kern w:val="2"/>
                <w:sz w:val="21"/>
                <w:szCs w:val="21"/>
                <w:lang w:val="en-US" w:eastAsia="zh-CN" w:bidi="ar-SA"/>
              </w:rPr>
              <w:t>、同时施工、同时投入使用的环保“三同时制度”。项目建成后，按规定程序实施竣工环境保护验收。项目投运后，控制全厂</w:t>
            </w:r>
            <w:r>
              <w:rPr>
                <w:rFonts w:hint="eastAsia" w:ascii="仿宋" w:hAnsi="仿宋" w:eastAsia="仿宋" w:cs="仿宋"/>
                <w:b w:val="0"/>
                <w:bCs w:val="0"/>
                <w:color w:val="000000" w:themeColor="text1"/>
                <w:kern w:val="2"/>
                <w:sz w:val="21"/>
                <w:szCs w:val="21"/>
                <w:lang w:val="en-US" w:eastAsia="zh-CN" w:bidi="ar-SA"/>
              </w:rPr>
              <w:t>NH</w:t>
            </w:r>
            <w:r>
              <w:rPr>
                <w:rFonts w:hint="eastAsia" w:ascii="仿宋" w:hAnsi="仿宋" w:eastAsia="仿宋" w:cs="仿宋"/>
                <w:b w:val="0"/>
                <w:bCs w:val="0"/>
                <w:color w:val="000000" w:themeColor="text1"/>
                <w:kern w:val="2"/>
                <w:sz w:val="21"/>
                <w:szCs w:val="21"/>
                <w:vertAlign w:val="subscript"/>
                <w:lang w:val="en-US" w:eastAsia="zh-CN" w:bidi="ar-SA"/>
              </w:rPr>
              <w:t>3</w:t>
            </w:r>
            <w:r>
              <w:rPr>
                <w:rFonts w:hint="eastAsia" w:ascii="仿宋" w:hAnsi="仿宋" w:eastAsia="仿宋" w:cs="仿宋"/>
                <w:b w:val="0"/>
                <w:bCs w:val="0"/>
                <w:color w:val="000000" w:themeColor="text1"/>
                <w:kern w:val="2"/>
                <w:sz w:val="21"/>
                <w:szCs w:val="21"/>
                <w:lang w:val="en-US" w:eastAsia="zh-CN" w:bidi="ar-SA"/>
              </w:rPr>
              <w:t>-N</w:t>
            </w:r>
            <w:r>
              <w:rPr>
                <w:rFonts w:hint="eastAsia" w:ascii="仿宋" w:hAnsi="仿宋" w:eastAsia="仿宋" w:cs="仿宋"/>
                <w:kern w:val="2"/>
                <w:sz w:val="21"/>
                <w:szCs w:val="21"/>
                <w:lang w:val="en-US" w:eastAsia="zh-CN" w:bidi="ar-SA"/>
              </w:rPr>
              <w:t>年排放量全部为0.002吨，COD年排放量为0.020吨，</w:t>
            </w:r>
            <w:r>
              <w:rPr>
                <w:rFonts w:hint="default" w:ascii="仿宋" w:hAnsi="仿宋" w:eastAsia="仿宋" w:cs="仿宋"/>
                <w:kern w:val="2"/>
                <w:sz w:val="21"/>
                <w:szCs w:val="21"/>
                <w:lang w:val="en-US" w:eastAsia="zh-CN" w:bidi="ar-SA"/>
              </w:rPr>
              <w:t>SO</w:t>
            </w:r>
            <w:r>
              <w:rPr>
                <w:rFonts w:hint="default" w:ascii="仿宋" w:hAnsi="仿宋" w:eastAsia="仿宋" w:cs="仿宋"/>
                <w:kern w:val="2"/>
                <w:sz w:val="21"/>
                <w:szCs w:val="21"/>
                <w:vertAlign w:val="subscript"/>
                <w:lang w:val="en-US" w:eastAsia="zh-CN" w:bidi="ar-SA"/>
              </w:rPr>
              <w:t>2</w:t>
            </w:r>
            <w:r>
              <w:rPr>
                <w:rFonts w:hint="eastAsia" w:ascii="仿宋" w:hAnsi="仿宋" w:eastAsia="仿宋" w:cs="仿宋"/>
                <w:kern w:val="2"/>
                <w:sz w:val="21"/>
                <w:szCs w:val="21"/>
                <w:lang w:val="en-US" w:eastAsia="zh-CN" w:bidi="ar-SA"/>
              </w:rPr>
              <w:t>年排放量为5.616吨，</w:t>
            </w:r>
            <w:r>
              <w:rPr>
                <w:rFonts w:hint="default" w:ascii="仿宋" w:hAnsi="仿宋" w:eastAsia="仿宋" w:cs="仿宋"/>
                <w:kern w:val="2"/>
                <w:sz w:val="21"/>
                <w:szCs w:val="21"/>
                <w:lang w:val="en-US" w:eastAsia="zh-CN" w:bidi="ar-SA"/>
              </w:rPr>
              <w:t>NO</w:t>
            </w:r>
            <w:r>
              <w:rPr>
                <w:rFonts w:hint="default" w:ascii="仿宋" w:hAnsi="仿宋" w:eastAsia="仿宋" w:cs="仿宋"/>
                <w:kern w:val="2"/>
                <w:sz w:val="21"/>
                <w:szCs w:val="21"/>
                <w:vertAlign w:val="subscript"/>
                <w:lang w:val="en-US" w:eastAsia="zh-CN" w:bidi="ar-SA"/>
              </w:rPr>
              <w:t>X</w:t>
            </w:r>
            <w:r>
              <w:rPr>
                <w:rFonts w:hint="eastAsia" w:ascii="仿宋" w:hAnsi="仿宋" w:eastAsia="仿宋" w:cs="仿宋"/>
                <w:kern w:val="2"/>
                <w:sz w:val="21"/>
                <w:szCs w:val="21"/>
                <w:lang w:val="en-US" w:eastAsia="zh-CN" w:bidi="ar-SA"/>
              </w:rPr>
              <w:t>年排放量为8.424吨。</w:t>
            </w:r>
          </w:p>
          <w:p w14:paraId="6922DDA5">
            <w:pPr>
              <w:widowControl/>
              <w:ind w:firstLine="420" w:firstLineChars="200"/>
              <w:jc w:val="left"/>
              <w:rPr>
                <w:rFonts w:hint="eastAsia" w:ascii="仿宋" w:hAnsi="仿宋" w:eastAsia="仿宋" w:cs="仿宋"/>
                <w:kern w:val="2"/>
                <w:sz w:val="21"/>
                <w:szCs w:val="21"/>
                <w:lang w:val="en-US" w:eastAsia="zh-CN" w:bidi="ar-SA"/>
              </w:rPr>
            </w:pPr>
            <w:r>
              <w:rPr>
                <w:rFonts w:hint="eastAsia" w:ascii="仿宋" w:hAnsi="仿宋" w:eastAsia="仿宋" w:cs="仿宋"/>
                <w:color w:val="191919"/>
                <w:kern w:val="2"/>
                <w:sz w:val="21"/>
                <w:szCs w:val="21"/>
                <w:shd w:val="clear" w:color="auto" w:fill="FFFFFF"/>
                <w:lang w:val="en-US" w:eastAsia="zh-CN" w:bidi="ar-SA"/>
              </w:rPr>
              <w:t>三、环境影响报告表经批准后，项目实施中涉及工程性质、规模、工艺和选址或者防止生态破坏、防治污染的措施发生重大变动的，应当依法重新报批环境影响评价文件。工程自批复之日起五年后方决定开工建设的，须将环评文件报我局重新审核。</w:t>
            </w:r>
            <w:r>
              <w:rPr>
                <w:rFonts w:hint="eastAsia" w:ascii="仿宋" w:hAnsi="仿宋" w:eastAsia="仿宋" w:cs="仿宋"/>
                <w:kern w:val="2"/>
                <w:sz w:val="21"/>
                <w:szCs w:val="21"/>
                <w:lang w:val="en-US" w:eastAsia="zh-CN" w:bidi="ar-SA"/>
              </w:rPr>
              <w:t xml:space="preserve"> </w:t>
            </w:r>
          </w:p>
          <w:p w14:paraId="7F6475ED">
            <w:pPr>
              <w:keepNext w:val="0"/>
              <w:keepLines w:val="0"/>
              <w:pageBreakBefore w:val="0"/>
              <w:kinsoku/>
              <w:wordWrap/>
              <w:overflowPunct/>
              <w:topLinePunct w:val="0"/>
              <w:autoSpaceDE/>
              <w:autoSpaceDN/>
              <w:bidi w:val="0"/>
              <w:adjustRightInd/>
              <w:spacing w:line="260" w:lineRule="exact"/>
              <w:ind w:firstLine="630" w:firstLineChars="300"/>
              <w:textAlignment w:val="auto"/>
              <w:rPr>
                <w:rFonts w:hint="eastAsia" w:ascii="仿宋" w:hAnsi="仿宋" w:eastAsia="仿宋" w:cs="仿宋"/>
                <w:kern w:val="2"/>
                <w:sz w:val="21"/>
                <w:szCs w:val="21"/>
                <w:lang w:val="en-US" w:eastAsia="zh-CN" w:bidi="ar-SA"/>
              </w:rPr>
            </w:pPr>
          </w:p>
          <w:p w14:paraId="68F7E425">
            <w:pPr>
              <w:keepNext w:val="0"/>
              <w:keepLines w:val="0"/>
              <w:pageBreakBefore w:val="0"/>
              <w:kinsoku/>
              <w:wordWrap/>
              <w:overflowPunct/>
              <w:topLinePunct w:val="0"/>
              <w:autoSpaceDE/>
              <w:autoSpaceDN/>
              <w:bidi w:val="0"/>
              <w:adjustRightInd/>
              <w:spacing w:line="260" w:lineRule="exact"/>
              <w:ind w:firstLine="630" w:firstLineChars="300"/>
              <w:textAlignment w:val="auto"/>
              <w:rPr>
                <w:rFonts w:hint="eastAsia" w:ascii="仿宋" w:hAnsi="仿宋" w:eastAsia="仿宋" w:cs="仿宋"/>
                <w:kern w:val="2"/>
                <w:sz w:val="21"/>
                <w:szCs w:val="21"/>
                <w:lang w:val="en-US" w:eastAsia="zh-CN" w:bidi="ar-SA"/>
              </w:rPr>
            </w:pPr>
          </w:p>
          <w:p w14:paraId="3CAC2D7C">
            <w:pPr>
              <w:keepNext w:val="0"/>
              <w:keepLines w:val="0"/>
              <w:pageBreakBefore w:val="0"/>
              <w:kinsoku/>
              <w:wordWrap/>
              <w:overflowPunct/>
              <w:topLinePunct w:val="0"/>
              <w:autoSpaceDE/>
              <w:autoSpaceDN/>
              <w:bidi w:val="0"/>
              <w:adjustRightInd/>
              <w:spacing w:line="260" w:lineRule="exact"/>
              <w:ind w:firstLine="630" w:firstLineChars="300"/>
              <w:textAlignment w:val="auto"/>
              <w:rPr>
                <w:rFonts w:hint="eastAsia" w:ascii="仿宋" w:hAnsi="仿宋" w:eastAsia="仿宋" w:cs="仿宋"/>
                <w:kern w:val="2"/>
                <w:sz w:val="15"/>
                <w:szCs w:val="15"/>
                <w:lang w:val="en-US" w:eastAsia="zh-CN" w:bidi="ar-SA"/>
              </w:rPr>
            </w:pPr>
            <w:r>
              <w:rPr>
                <w:rFonts w:hint="eastAsia" w:ascii="仿宋" w:hAnsi="仿宋" w:eastAsia="仿宋" w:cs="仿宋"/>
                <w:kern w:val="2"/>
                <w:sz w:val="21"/>
                <w:szCs w:val="21"/>
                <w:lang w:val="en-US" w:eastAsia="zh-CN" w:bidi="ar-SA"/>
              </w:rPr>
              <w:t>经办人：                                                  2025 年6月12日</w:t>
            </w:r>
          </w:p>
        </w:tc>
      </w:tr>
    </w:tbl>
    <w:p w14:paraId="78327418">
      <w:pPr>
        <w:rPr>
          <w:rFonts w:hint="eastAsia" w:eastAsia="宋体"/>
          <w:lang w:eastAsia="zh-CN"/>
        </w:rPr>
      </w:pPr>
    </w:p>
    <w:sectPr>
      <w:pgSz w:w="11906" w:h="16838"/>
      <w:pgMar w:top="1213"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14EED"/>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416630"/>
    <w:rsid w:val="03C35590"/>
    <w:rsid w:val="05D71850"/>
    <w:rsid w:val="0639036B"/>
    <w:rsid w:val="06A639E5"/>
    <w:rsid w:val="07F6059C"/>
    <w:rsid w:val="093508AC"/>
    <w:rsid w:val="0B510C95"/>
    <w:rsid w:val="0BB357F1"/>
    <w:rsid w:val="0C7056C4"/>
    <w:rsid w:val="0CC632E2"/>
    <w:rsid w:val="0D0E65D6"/>
    <w:rsid w:val="0E1A4506"/>
    <w:rsid w:val="0E4806A0"/>
    <w:rsid w:val="0EA520AE"/>
    <w:rsid w:val="0F2637C4"/>
    <w:rsid w:val="106C63AB"/>
    <w:rsid w:val="10BB099D"/>
    <w:rsid w:val="10E220C6"/>
    <w:rsid w:val="116D01DE"/>
    <w:rsid w:val="11D905EA"/>
    <w:rsid w:val="120759EA"/>
    <w:rsid w:val="125123AD"/>
    <w:rsid w:val="12EA0B44"/>
    <w:rsid w:val="135F33A8"/>
    <w:rsid w:val="17805F80"/>
    <w:rsid w:val="183C2C81"/>
    <w:rsid w:val="185C6797"/>
    <w:rsid w:val="1861509D"/>
    <w:rsid w:val="188477FD"/>
    <w:rsid w:val="1A491BBF"/>
    <w:rsid w:val="1A820940"/>
    <w:rsid w:val="1B0272A5"/>
    <w:rsid w:val="1B5E7755"/>
    <w:rsid w:val="1BEE01D9"/>
    <w:rsid w:val="1D773D97"/>
    <w:rsid w:val="1DD9198E"/>
    <w:rsid w:val="1DF00D78"/>
    <w:rsid w:val="1ED4072F"/>
    <w:rsid w:val="1F983897"/>
    <w:rsid w:val="231F5A1C"/>
    <w:rsid w:val="244957BB"/>
    <w:rsid w:val="246E2F82"/>
    <w:rsid w:val="24737F96"/>
    <w:rsid w:val="247B1229"/>
    <w:rsid w:val="24F030CE"/>
    <w:rsid w:val="253D5533"/>
    <w:rsid w:val="258874A7"/>
    <w:rsid w:val="259B3EDE"/>
    <w:rsid w:val="25F0248B"/>
    <w:rsid w:val="26687D32"/>
    <w:rsid w:val="26D04ACA"/>
    <w:rsid w:val="27463420"/>
    <w:rsid w:val="288D4017"/>
    <w:rsid w:val="2A5857C6"/>
    <w:rsid w:val="2A5D28F9"/>
    <w:rsid w:val="2B8D07F2"/>
    <w:rsid w:val="2BA83A25"/>
    <w:rsid w:val="2DC51C24"/>
    <w:rsid w:val="2FA90493"/>
    <w:rsid w:val="2FE33BCB"/>
    <w:rsid w:val="341C43C2"/>
    <w:rsid w:val="344879CA"/>
    <w:rsid w:val="354F45B2"/>
    <w:rsid w:val="355C303E"/>
    <w:rsid w:val="36430044"/>
    <w:rsid w:val="36527A66"/>
    <w:rsid w:val="36EF006E"/>
    <w:rsid w:val="37213D29"/>
    <w:rsid w:val="37487E03"/>
    <w:rsid w:val="380A60B3"/>
    <w:rsid w:val="391F541C"/>
    <w:rsid w:val="3A77227A"/>
    <w:rsid w:val="3AA86B61"/>
    <w:rsid w:val="3AB26D1E"/>
    <w:rsid w:val="3ABC555D"/>
    <w:rsid w:val="3BA45F36"/>
    <w:rsid w:val="3C9C1A01"/>
    <w:rsid w:val="3CE34EAB"/>
    <w:rsid w:val="3DFC1E32"/>
    <w:rsid w:val="3DFC3CBF"/>
    <w:rsid w:val="3E057984"/>
    <w:rsid w:val="3E0F14D8"/>
    <w:rsid w:val="3E104E77"/>
    <w:rsid w:val="3E485E28"/>
    <w:rsid w:val="3E900D92"/>
    <w:rsid w:val="432917FA"/>
    <w:rsid w:val="439A3BBE"/>
    <w:rsid w:val="445A4283"/>
    <w:rsid w:val="44B22B0D"/>
    <w:rsid w:val="46FD256C"/>
    <w:rsid w:val="470664E9"/>
    <w:rsid w:val="477311C9"/>
    <w:rsid w:val="48D54C71"/>
    <w:rsid w:val="4A1726EE"/>
    <w:rsid w:val="4A303725"/>
    <w:rsid w:val="4A741418"/>
    <w:rsid w:val="4A751650"/>
    <w:rsid w:val="4B8B7843"/>
    <w:rsid w:val="4BE624CC"/>
    <w:rsid w:val="4ED65758"/>
    <w:rsid w:val="4EE379BF"/>
    <w:rsid w:val="4FFC1166"/>
    <w:rsid w:val="5020160B"/>
    <w:rsid w:val="50966A6E"/>
    <w:rsid w:val="50C65266"/>
    <w:rsid w:val="51462EE1"/>
    <w:rsid w:val="519521FC"/>
    <w:rsid w:val="52BA2ED4"/>
    <w:rsid w:val="53642102"/>
    <w:rsid w:val="537A1E73"/>
    <w:rsid w:val="53891951"/>
    <w:rsid w:val="54041659"/>
    <w:rsid w:val="54F61A33"/>
    <w:rsid w:val="55637F7F"/>
    <w:rsid w:val="556666D5"/>
    <w:rsid w:val="55A8784B"/>
    <w:rsid w:val="56100BFC"/>
    <w:rsid w:val="564D059A"/>
    <w:rsid w:val="57870C41"/>
    <w:rsid w:val="593149B9"/>
    <w:rsid w:val="5CCE2736"/>
    <w:rsid w:val="5D5E08DD"/>
    <w:rsid w:val="5DB16C63"/>
    <w:rsid w:val="5E3E7EF1"/>
    <w:rsid w:val="5FC44D62"/>
    <w:rsid w:val="60A46881"/>
    <w:rsid w:val="60B96269"/>
    <w:rsid w:val="621F7A14"/>
    <w:rsid w:val="63497F31"/>
    <w:rsid w:val="643113DF"/>
    <w:rsid w:val="64DA405D"/>
    <w:rsid w:val="65C3030C"/>
    <w:rsid w:val="66676607"/>
    <w:rsid w:val="66E40073"/>
    <w:rsid w:val="670923BA"/>
    <w:rsid w:val="682C72B2"/>
    <w:rsid w:val="68541F7E"/>
    <w:rsid w:val="689E3961"/>
    <w:rsid w:val="69F14EF3"/>
    <w:rsid w:val="69FA637B"/>
    <w:rsid w:val="6A7D13F3"/>
    <w:rsid w:val="6C4106CC"/>
    <w:rsid w:val="6C773F36"/>
    <w:rsid w:val="6D6949EA"/>
    <w:rsid w:val="6D8967FD"/>
    <w:rsid w:val="6DF254D4"/>
    <w:rsid w:val="6E9B4895"/>
    <w:rsid w:val="71B44793"/>
    <w:rsid w:val="72405D25"/>
    <w:rsid w:val="72D66D46"/>
    <w:rsid w:val="734D1831"/>
    <w:rsid w:val="74623816"/>
    <w:rsid w:val="75276451"/>
    <w:rsid w:val="75627F33"/>
    <w:rsid w:val="762230F8"/>
    <w:rsid w:val="764B55B9"/>
    <w:rsid w:val="76D8421F"/>
    <w:rsid w:val="778A7E6B"/>
    <w:rsid w:val="77F233BD"/>
    <w:rsid w:val="78215FC1"/>
    <w:rsid w:val="783D5159"/>
    <w:rsid w:val="785C4770"/>
    <w:rsid w:val="7A3D2CC4"/>
    <w:rsid w:val="7A735214"/>
    <w:rsid w:val="7BEC14D9"/>
    <w:rsid w:val="7C0F1005"/>
    <w:rsid w:val="7C6A15B3"/>
    <w:rsid w:val="7D495838"/>
    <w:rsid w:val="7DD03374"/>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left="240"/>
    </w:pPr>
    <w:rPr>
      <w:rFonts w:ascii="Calibri" w:hAnsi="Calibri"/>
      <w:smallCaps/>
      <w:sz w:val="20"/>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1516</Words>
  <Characters>1687</Characters>
  <Lines>9</Lines>
  <Paragraphs>2</Paragraphs>
  <TotalTime>123</TotalTime>
  <ScaleCrop>false</ScaleCrop>
  <LinksUpToDate>false</LinksUpToDate>
  <CharactersWithSpaces>1823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2025-06-11T01:06:33Z</cp:lastPrinted>
  <dcterms:modified xsi:type="dcterms:W3CDTF">2025-06-11T01:17:40Z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C7D5036CD2794381A3611AD522CDD8CA</vt:lpwstr>
  </property>
  <property fmtid="{D5CDD505-2E9C-101B-9397-08002B2CF9AE}" pid="4" name="KSOTemplateDocerSaveRecord">
    <vt:lpwstr>eyJoZGlkIjoiZGFjZjI0NjMwNDI3MTk1NGU4ZTExZDhkYjgxNDBiYWUiLCJ1c2VySWQiOiI3MzI2ODk1MzMifQ==</vt:lpwstr>
  </property>
</Properties>
</file>