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ACD37C">
      <w:pPr>
        <w:adjustRightInd w:val="0"/>
        <w:snapToGrid w:val="0"/>
        <w:ind w:firstLine="440" w:firstLineChars="100"/>
        <w:jc w:val="center"/>
        <w:rPr>
          <w:rFonts w:ascii="方正小标宋简体" w:eastAsia="方正小标宋简体" w:hAnsiTheme="minorEastAsia"/>
          <w:sz w:val="44"/>
          <w:shd w:val="clear" w:color="auto" w:fill="FFFFFF"/>
        </w:rPr>
      </w:pPr>
      <w:r>
        <w:rPr>
          <w:rFonts w:hint="eastAsia" w:ascii="方正小标宋简体" w:eastAsia="方正小标宋简体" w:hAnsiTheme="minorEastAsia"/>
          <w:sz w:val="44"/>
          <w:shd w:val="clear" w:color="auto" w:fill="FFFFFF"/>
        </w:rPr>
        <w:t>202</w:t>
      </w:r>
      <w:r>
        <w:rPr>
          <w:rFonts w:hint="eastAsia" w:ascii="方正小标宋简体" w:eastAsia="方正小标宋简体" w:hAnsiTheme="minorEastAsia"/>
          <w:sz w:val="44"/>
          <w:shd w:val="clear" w:color="auto" w:fill="FFFFFF"/>
          <w:lang w:val="en-US" w:eastAsia="zh-CN"/>
        </w:rPr>
        <w:t>5</w:t>
      </w:r>
      <w:r>
        <w:rPr>
          <w:rFonts w:hint="eastAsia" w:ascii="方正小标宋简体" w:eastAsia="方正小标宋简体" w:hAnsiTheme="minorEastAsia"/>
          <w:sz w:val="44"/>
          <w:shd w:val="clear" w:color="auto" w:fill="FFFFFF"/>
        </w:rPr>
        <w:t>年预算草案</w:t>
      </w:r>
    </w:p>
    <w:p w14:paraId="0A9206F7">
      <w:pPr>
        <w:adjustRightInd w:val="0"/>
        <w:snapToGrid w:val="0"/>
        <w:ind w:firstLine="440" w:firstLineChars="100"/>
        <w:jc w:val="center"/>
        <w:rPr>
          <w:rFonts w:ascii="方正小标宋简体" w:eastAsia="方正小标宋简体" w:hAnsiTheme="minorEastAsia"/>
          <w:sz w:val="44"/>
          <w:shd w:val="clear" w:color="auto" w:fill="FFFFFF"/>
        </w:rPr>
      </w:pPr>
      <w:r>
        <w:rPr>
          <w:rFonts w:hint="eastAsia" w:ascii="方正小标宋简体" w:eastAsia="方正小标宋简体" w:hAnsiTheme="minorEastAsia"/>
          <w:sz w:val="44"/>
          <w:shd w:val="clear" w:color="auto" w:fill="FFFFFF"/>
        </w:rPr>
        <w:t>关于债务限额及举借债务情况说明</w:t>
      </w:r>
    </w:p>
    <w:p w14:paraId="31161109">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一、政府债务限额情况</w:t>
      </w:r>
    </w:p>
    <w:p w14:paraId="4355EB5E">
      <w:pPr>
        <w:adjustRightInd w:val="0"/>
        <w:snapToGrid w:val="0"/>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截至20</w:t>
      </w:r>
      <w:r>
        <w:rPr>
          <w:rFonts w:ascii="仿宋_GB2312" w:hAnsi="华文仿宋" w:eastAsia="仿宋_GB2312"/>
          <w:sz w:val="32"/>
          <w:szCs w:val="32"/>
        </w:rPr>
        <w:t>2</w:t>
      </w:r>
      <w:r>
        <w:rPr>
          <w:rFonts w:hint="eastAsia" w:ascii="仿宋_GB2312" w:hAnsi="华文仿宋" w:eastAsia="仿宋_GB2312"/>
          <w:sz w:val="32"/>
          <w:szCs w:val="32"/>
          <w:lang w:val="en-US" w:eastAsia="zh-CN"/>
        </w:rPr>
        <w:t>4</w:t>
      </w:r>
      <w:r>
        <w:rPr>
          <w:rFonts w:hint="eastAsia" w:ascii="仿宋_GB2312" w:hAnsi="华文仿宋" w:eastAsia="仿宋_GB2312"/>
          <w:sz w:val="32"/>
          <w:szCs w:val="32"/>
        </w:rPr>
        <w:t>年末，经河北省财政厅批复我县政府债务总限额为</w:t>
      </w:r>
      <w:r>
        <w:rPr>
          <w:rFonts w:hint="eastAsia" w:ascii="仿宋_GB2312" w:hAnsi="华文仿宋" w:eastAsia="仿宋_GB2312"/>
          <w:sz w:val="32"/>
          <w:szCs w:val="32"/>
          <w:lang w:val="en-US" w:eastAsia="zh-CN"/>
        </w:rPr>
        <w:t>64.53</w:t>
      </w:r>
      <w:r>
        <w:rPr>
          <w:rFonts w:hint="eastAsia" w:ascii="仿宋_GB2312" w:hAnsi="华文仿宋" w:eastAsia="仿宋_GB2312"/>
          <w:sz w:val="32"/>
          <w:szCs w:val="32"/>
        </w:rPr>
        <w:t>亿元，其中：一般债务限额</w:t>
      </w:r>
      <w:r>
        <w:rPr>
          <w:rFonts w:hint="eastAsia" w:ascii="仿宋_GB2312" w:hAnsi="华文仿宋" w:eastAsia="仿宋_GB2312"/>
          <w:sz w:val="32"/>
          <w:szCs w:val="32"/>
          <w:lang w:val="en-US" w:eastAsia="zh-CN"/>
        </w:rPr>
        <w:t>35.5</w:t>
      </w:r>
      <w:r>
        <w:rPr>
          <w:rFonts w:hint="eastAsia" w:ascii="仿宋_GB2312" w:hAnsi="华文仿宋" w:eastAsia="仿宋_GB2312"/>
          <w:sz w:val="32"/>
          <w:szCs w:val="32"/>
        </w:rPr>
        <w:t>亿元，占比</w:t>
      </w:r>
      <w:r>
        <w:rPr>
          <w:rFonts w:hint="eastAsia" w:ascii="仿宋_GB2312" w:hAnsi="华文仿宋" w:eastAsia="仿宋_GB2312"/>
          <w:sz w:val="32"/>
          <w:szCs w:val="32"/>
          <w:lang w:val="en-US" w:eastAsia="zh-CN"/>
        </w:rPr>
        <w:t>55.01</w:t>
      </w:r>
      <w:r>
        <w:rPr>
          <w:rFonts w:hint="eastAsia" w:ascii="仿宋_GB2312" w:hAnsi="华文仿宋" w:eastAsia="仿宋_GB2312"/>
          <w:sz w:val="32"/>
          <w:szCs w:val="32"/>
        </w:rPr>
        <w:t>%；专项债务限额</w:t>
      </w:r>
      <w:r>
        <w:rPr>
          <w:rFonts w:hint="eastAsia" w:ascii="仿宋_GB2312" w:hAnsi="华文仿宋" w:eastAsia="仿宋_GB2312"/>
          <w:sz w:val="32"/>
          <w:szCs w:val="32"/>
          <w:lang w:val="en-US" w:eastAsia="zh-CN"/>
        </w:rPr>
        <w:t>29.03</w:t>
      </w:r>
      <w:r>
        <w:rPr>
          <w:rFonts w:hint="eastAsia" w:ascii="仿宋_GB2312" w:hAnsi="华文仿宋" w:eastAsia="仿宋_GB2312"/>
          <w:sz w:val="32"/>
          <w:szCs w:val="32"/>
        </w:rPr>
        <w:t>亿元，占比</w:t>
      </w:r>
      <w:r>
        <w:rPr>
          <w:rFonts w:hint="eastAsia" w:ascii="仿宋_GB2312" w:hAnsi="华文仿宋" w:eastAsia="仿宋_GB2312"/>
          <w:sz w:val="32"/>
          <w:szCs w:val="32"/>
          <w:lang w:val="en-US" w:eastAsia="zh-CN"/>
        </w:rPr>
        <w:t>44.99</w:t>
      </w:r>
      <w:r>
        <w:rPr>
          <w:rFonts w:hint="eastAsia" w:ascii="仿宋_GB2312" w:hAnsi="华文仿宋" w:eastAsia="仿宋_GB2312"/>
          <w:sz w:val="32"/>
          <w:szCs w:val="32"/>
        </w:rPr>
        <w:t>%。</w:t>
      </w:r>
    </w:p>
    <w:p w14:paraId="7A9D458A">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二、政府债务限额使用情况</w:t>
      </w:r>
    </w:p>
    <w:p w14:paraId="1A1026FF">
      <w:pPr>
        <w:adjustRightInd w:val="0"/>
        <w:snapToGrid w:val="0"/>
        <w:spacing w:line="560" w:lineRule="exact"/>
        <w:ind w:firstLine="640" w:firstLineChars="200"/>
        <w:rPr>
          <w:rFonts w:ascii="仿宋_GB2312" w:hAnsi="华文仿宋" w:eastAsia="仿宋_GB2312"/>
          <w:color w:val="F79646" w:themeColor="accent6"/>
          <w:sz w:val="32"/>
          <w:szCs w:val="32"/>
          <w14:textFill>
            <w14:solidFill>
              <w14:schemeClr w14:val="accent6"/>
            </w14:solidFill>
          </w14:textFill>
        </w:rPr>
      </w:pPr>
      <w:r>
        <w:rPr>
          <w:rFonts w:hint="eastAsia" w:ascii="仿宋_GB2312" w:hAnsi="华文仿宋" w:eastAsia="仿宋_GB2312"/>
          <w:sz w:val="32"/>
          <w:szCs w:val="32"/>
        </w:rPr>
        <w:t>截至20</w:t>
      </w:r>
      <w:r>
        <w:rPr>
          <w:rFonts w:hint="eastAsia" w:ascii="仿宋_GB2312" w:hAnsi="华文仿宋" w:eastAsia="仿宋_GB2312"/>
          <w:sz w:val="32"/>
          <w:szCs w:val="32"/>
          <w:lang w:val="en-US" w:eastAsia="zh-CN"/>
        </w:rPr>
        <w:t>24</w:t>
      </w:r>
      <w:r>
        <w:rPr>
          <w:rFonts w:hint="eastAsia" w:ascii="仿宋_GB2312" w:hAnsi="华文仿宋" w:eastAsia="仿宋_GB2312"/>
          <w:sz w:val="32"/>
          <w:szCs w:val="32"/>
        </w:rPr>
        <w:t>年末，我县政府债务余额为</w:t>
      </w:r>
      <w:r>
        <w:rPr>
          <w:rFonts w:hint="eastAsia" w:ascii="仿宋_GB2312" w:hAnsi="华文仿宋" w:eastAsia="仿宋_GB2312"/>
          <w:sz w:val="32"/>
          <w:szCs w:val="32"/>
          <w:lang w:val="en-US" w:eastAsia="zh-CN"/>
        </w:rPr>
        <w:t>63.09</w:t>
      </w:r>
      <w:r>
        <w:rPr>
          <w:rFonts w:hint="eastAsia" w:ascii="仿宋_GB2312" w:hAnsi="华文仿宋" w:eastAsia="仿宋_GB2312"/>
          <w:sz w:val="32"/>
          <w:szCs w:val="32"/>
        </w:rPr>
        <w:t>亿元，较上年</w:t>
      </w:r>
      <w:r>
        <w:rPr>
          <w:rFonts w:hint="eastAsia" w:ascii="仿宋_GB2312" w:hAnsi="华文仿宋" w:eastAsia="仿宋_GB2312"/>
          <w:sz w:val="32"/>
          <w:szCs w:val="32"/>
          <w:lang w:val="en-US" w:eastAsia="zh-CN"/>
        </w:rPr>
        <w:t>56.14</w:t>
      </w:r>
      <w:r>
        <w:rPr>
          <w:rFonts w:hint="eastAsia" w:ascii="仿宋_GB2312" w:hAnsi="华文仿宋" w:eastAsia="仿宋_GB2312"/>
          <w:sz w:val="32"/>
          <w:szCs w:val="32"/>
        </w:rPr>
        <w:t>亿元，增加</w:t>
      </w:r>
      <w:r>
        <w:rPr>
          <w:rFonts w:hint="eastAsia" w:ascii="仿宋_GB2312" w:hAnsi="华文仿宋" w:eastAsia="仿宋_GB2312"/>
          <w:sz w:val="32"/>
          <w:szCs w:val="32"/>
          <w:lang w:val="en-US" w:eastAsia="zh-CN"/>
        </w:rPr>
        <w:t>6.69</w:t>
      </w:r>
      <w:r>
        <w:rPr>
          <w:rFonts w:hint="eastAsia" w:ascii="仿宋_GB2312" w:hAnsi="华文仿宋" w:eastAsia="仿宋_GB2312"/>
          <w:sz w:val="32"/>
          <w:szCs w:val="32"/>
        </w:rPr>
        <w:t>亿元，</w:t>
      </w:r>
      <w:r>
        <w:rPr>
          <w:rFonts w:hint="eastAsia" w:ascii="仿宋_GB2312" w:hAnsi="华文仿宋" w:eastAsia="仿宋_GB2312"/>
          <w:color w:val="auto"/>
          <w:sz w:val="32"/>
          <w:szCs w:val="32"/>
        </w:rPr>
        <w:t>限额使用比例</w:t>
      </w:r>
      <w:r>
        <w:rPr>
          <w:rFonts w:hint="eastAsia" w:ascii="仿宋_GB2312" w:hAnsi="华文仿宋" w:eastAsia="仿宋_GB2312"/>
          <w:color w:val="auto"/>
          <w:sz w:val="32"/>
          <w:szCs w:val="32"/>
          <w:lang w:val="en-US" w:eastAsia="zh-CN"/>
        </w:rPr>
        <w:t>97.77</w:t>
      </w:r>
      <w:r>
        <w:rPr>
          <w:rFonts w:hint="eastAsia" w:ascii="仿宋_GB2312" w:hAnsi="华文仿宋" w:eastAsia="仿宋_GB2312"/>
          <w:color w:val="auto"/>
          <w:sz w:val="32"/>
          <w:szCs w:val="32"/>
        </w:rPr>
        <w:t>%，其中：一般债务余额</w:t>
      </w:r>
      <w:r>
        <w:rPr>
          <w:rFonts w:hint="eastAsia" w:ascii="仿宋_GB2312" w:hAnsi="华文仿宋" w:eastAsia="仿宋_GB2312"/>
          <w:color w:val="auto"/>
          <w:sz w:val="32"/>
          <w:szCs w:val="32"/>
          <w:lang w:val="en-US" w:eastAsia="zh-CN"/>
        </w:rPr>
        <w:t>34.79</w:t>
      </w:r>
      <w:r>
        <w:rPr>
          <w:rFonts w:hint="eastAsia" w:ascii="仿宋_GB2312" w:hAnsi="华文仿宋" w:eastAsia="仿宋_GB2312"/>
          <w:color w:val="auto"/>
          <w:sz w:val="32"/>
          <w:szCs w:val="32"/>
        </w:rPr>
        <w:t>亿元，较上年增加</w:t>
      </w:r>
      <w:r>
        <w:rPr>
          <w:rFonts w:hint="eastAsia" w:ascii="仿宋_GB2312" w:hAnsi="华文仿宋" w:eastAsia="仿宋_GB2312"/>
          <w:color w:val="auto"/>
          <w:sz w:val="32"/>
          <w:szCs w:val="32"/>
          <w:lang w:val="en-US" w:eastAsia="zh-CN"/>
        </w:rPr>
        <w:t>2.21</w:t>
      </w:r>
      <w:r>
        <w:rPr>
          <w:rFonts w:hint="eastAsia" w:ascii="仿宋_GB2312" w:hAnsi="华文仿宋" w:eastAsia="仿宋_GB2312"/>
          <w:color w:val="auto"/>
          <w:sz w:val="32"/>
          <w:szCs w:val="32"/>
        </w:rPr>
        <w:t>亿元（新增</w:t>
      </w:r>
      <w:r>
        <w:rPr>
          <w:rFonts w:hint="eastAsia" w:ascii="仿宋_GB2312" w:hAnsi="华文仿宋" w:eastAsia="仿宋_GB2312"/>
          <w:color w:val="auto"/>
          <w:sz w:val="32"/>
          <w:szCs w:val="32"/>
          <w:lang w:val="en-US" w:eastAsia="zh-CN"/>
        </w:rPr>
        <w:t>2.24</w:t>
      </w:r>
      <w:r>
        <w:rPr>
          <w:rFonts w:hint="eastAsia" w:ascii="仿宋_GB2312" w:hAnsi="华文仿宋" w:eastAsia="仿宋_GB2312"/>
          <w:color w:val="auto"/>
          <w:sz w:val="32"/>
          <w:szCs w:val="32"/>
        </w:rPr>
        <w:t>亿元，偿还</w:t>
      </w:r>
      <w:r>
        <w:rPr>
          <w:rFonts w:hint="eastAsia" w:ascii="仿宋_GB2312" w:hAnsi="华文仿宋" w:eastAsia="仿宋_GB2312"/>
          <w:color w:val="auto"/>
          <w:sz w:val="32"/>
          <w:szCs w:val="32"/>
          <w:lang w:val="en-US" w:eastAsia="zh-CN"/>
        </w:rPr>
        <w:t>0.03</w:t>
      </w:r>
      <w:r>
        <w:rPr>
          <w:rFonts w:hint="eastAsia" w:ascii="仿宋_GB2312" w:hAnsi="华文仿宋" w:eastAsia="仿宋_GB2312"/>
          <w:color w:val="auto"/>
          <w:sz w:val="32"/>
          <w:szCs w:val="32"/>
        </w:rPr>
        <w:t>亿元），限额使用比例</w:t>
      </w:r>
      <w:r>
        <w:rPr>
          <w:rFonts w:hint="eastAsia" w:ascii="仿宋_GB2312" w:hAnsi="华文仿宋" w:eastAsia="仿宋_GB2312"/>
          <w:color w:val="auto"/>
          <w:sz w:val="32"/>
          <w:szCs w:val="32"/>
          <w:lang w:val="en-US" w:eastAsia="zh-CN"/>
        </w:rPr>
        <w:t>98</w:t>
      </w:r>
      <w:r>
        <w:rPr>
          <w:rFonts w:hint="eastAsia" w:ascii="仿宋_GB2312" w:hAnsi="华文仿宋" w:eastAsia="仿宋_GB2312"/>
          <w:color w:val="auto"/>
          <w:sz w:val="32"/>
          <w:szCs w:val="32"/>
        </w:rPr>
        <w:t>%；专项债务余额</w:t>
      </w:r>
      <w:r>
        <w:rPr>
          <w:rFonts w:hint="eastAsia" w:ascii="仿宋_GB2312" w:hAnsi="华文仿宋" w:eastAsia="仿宋_GB2312"/>
          <w:color w:val="auto"/>
          <w:sz w:val="32"/>
          <w:szCs w:val="32"/>
          <w:lang w:val="en-US" w:eastAsia="zh-CN"/>
        </w:rPr>
        <w:t>28.3</w:t>
      </w:r>
      <w:r>
        <w:rPr>
          <w:rFonts w:hint="eastAsia" w:ascii="仿宋_GB2312" w:hAnsi="华文仿宋" w:eastAsia="仿宋_GB2312"/>
          <w:color w:val="auto"/>
          <w:sz w:val="32"/>
          <w:szCs w:val="32"/>
        </w:rPr>
        <w:t>亿元，较上年增加</w:t>
      </w:r>
      <w:r>
        <w:rPr>
          <w:rFonts w:hint="eastAsia" w:ascii="仿宋_GB2312" w:hAnsi="华文仿宋" w:eastAsia="仿宋_GB2312"/>
          <w:color w:val="auto"/>
          <w:sz w:val="32"/>
          <w:szCs w:val="32"/>
          <w:lang w:val="en-US" w:eastAsia="zh-CN"/>
        </w:rPr>
        <w:t>4.74</w:t>
      </w:r>
      <w:r>
        <w:rPr>
          <w:rFonts w:hint="eastAsia" w:ascii="仿宋_GB2312" w:hAnsi="华文仿宋" w:eastAsia="仿宋_GB2312"/>
          <w:color w:val="auto"/>
          <w:sz w:val="32"/>
          <w:szCs w:val="32"/>
        </w:rPr>
        <w:t>亿元（新增</w:t>
      </w:r>
      <w:r>
        <w:rPr>
          <w:rFonts w:hint="eastAsia" w:ascii="仿宋_GB2312" w:hAnsi="华文仿宋" w:eastAsia="仿宋_GB2312"/>
          <w:color w:val="auto"/>
          <w:sz w:val="32"/>
          <w:szCs w:val="32"/>
          <w:lang w:val="en-US" w:eastAsia="zh-CN"/>
        </w:rPr>
        <w:t>5.15</w:t>
      </w:r>
      <w:r>
        <w:rPr>
          <w:rFonts w:hint="eastAsia" w:ascii="仿宋_GB2312" w:hAnsi="华文仿宋" w:eastAsia="仿宋_GB2312"/>
          <w:color w:val="auto"/>
          <w:sz w:val="32"/>
          <w:szCs w:val="32"/>
        </w:rPr>
        <w:t>亿元，偿还</w:t>
      </w:r>
      <w:r>
        <w:rPr>
          <w:rFonts w:hint="eastAsia" w:ascii="仿宋_GB2312" w:hAnsi="华文仿宋" w:eastAsia="仿宋_GB2312"/>
          <w:color w:val="auto"/>
          <w:sz w:val="32"/>
          <w:szCs w:val="32"/>
          <w:lang w:val="en-US" w:eastAsia="zh-CN"/>
        </w:rPr>
        <w:t>0.41</w:t>
      </w:r>
      <w:r>
        <w:rPr>
          <w:rFonts w:hint="eastAsia" w:ascii="仿宋_GB2312" w:hAnsi="华文仿宋" w:eastAsia="仿宋_GB2312"/>
          <w:color w:val="auto"/>
          <w:sz w:val="32"/>
          <w:szCs w:val="32"/>
        </w:rPr>
        <w:t>亿元），限额使用比例</w:t>
      </w:r>
      <w:r>
        <w:rPr>
          <w:rFonts w:hint="eastAsia" w:ascii="仿宋_GB2312" w:hAnsi="华文仿宋" w:eastAsia="仿宋_GB2312"/>
          <w:color w:val="auto"/>
          <w:sz w:val="32"/>
          <w:szCs w:val="32"/>
          <w:lang w:val="en-US" w:eastAsia="zh-CN"/>
        </w:rPr>
        <w:t>97.49</w:t>
      </w:r>
      <w:r>
        <w:rPr>
          <w:rFonts w:hint="eastAsia" w:ascii="仿宋_GB2312" w:hAnsi="华文仿宋" w:eastAsia="仿宋_GB2312"/>
          <w:color w:val="auto"/>
          <w:sz w:val="32"/>
          <w:szCs w:val="32"/>
        </w:rPr>
        <w:t>%。</w:t>
      </w:r>
    </w:p>
    <w:p w14:paraId="0B3209E0">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三、2</w:t>
      </w:r>
      <w:r>
        <w:rPr>
          <w:rFonts w:ascii="黑体" w:hAnsi="黑体" w:eastAsia="黑体"/>
          <w:sz w:val="32"/>
          <w:szCs w:val="32"/>
        </w:rPr>
        <w:t>02</w:t>
      </w:r>
      <w:r>
        <w:rPr>
          <w:rFonts w:hint="eastAsia" w:ascii="黑体" w:hAnsi="黑体" w:eastAsia="黑体"/>
          <w:sz w:val="32"/>
          <w:szCs w:val="32"/>
          <w:lang w:val="en-US" w:eastAsia="zh-CN"/>
        </w:rPr>
        <w:t>4</w:t>
      </w:r>
      <w:r>
        <w:rPr>
          <w:rFonts w:hint="eastAsia" w:ascii="黑体" w:hAnsi="黑体" w:eastAsia="黑体"/>
          <w:sz w:val="32"/>
          <w:szCs w:val="32"/>
        </w:rPr>
        <w:t>年新增债券</w:t>
      </w:r>
      <w:r>
        <w:rPr>
          <w:rFonts w:hint="eastAsia" w:ascii="黑体" w:hAnsi="黑体" w:eastAsia="黑体"/>
          <w:sz w:val="32"/>
          <w:szCs w:val="32"/>
          <w:lang w:val="en-US" w:eastAsia="zh-CN"/>
        </w:rPr>
        <w:t>7.39</w:t>
      </w:r>
      <w:r>
        <w:rPr>
          <w:rFonts w:hint="eastAsia" w:ascii="黑体" w:hAnsi="黑体" w:eastAsia="黑体"/>
          <w:sz w:val="32"/>
          <w:szCs w:val="32"/>
        </w:rPr>
        <w:t>亿元使用情况</w:t>
      </w:r>
    </w:p>
    <w:p w14:paraId="6B0A339F">
      <w:pPr>
        <w:adjustRightInd w:val="0"/>
        <w:snapToGrid w:val="0"/>
        <w:spacing w:line="56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20</w:t>
      </w:r>
      <w:r>
        <w:rPr>
          <w:rFonts w:ascii="仿宋_GB2312" w:hAnsi="仿宋" w:eastAsia="仿宋_GB2312" w:cs="仿宋"/>
          <w:sz w:val="32"/>
          <w:szCs w:val="32"/>
        </w:rPr>
        <w:t>2</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年新增债券</w:t>
      </w:r>
      <w:r>
        <w:rPr>
          <w:rFonts w:hint="eastAsia" w:ascii="仿宋_GB2312" w:hAnsi="仿宋" w:eastAsia="仿宋_GB2312" w:cs="仿宋"/>
          <w:sz w:val="32"/>
          <w:szCs w:val="32"/>
          <w:lang w:val="en-US" w:eastAsia="zh-CN"/>
        </w:rPr>
        <w:t>7.39</w:t>
      </w:r>
      <w:r>
        <w:rPr>
          <w:rFonts w:hint="eastAsia" w:ascii="仿宋_GB2312" w:hAnsi="仿宋" w:eastAsia="仿宋_GB2312" w:cs="仿宋"/>
          <w:sz w:val="32"/>
          <w:szCs w:val="32"/>
        </w:rPr>
        <w:t>亿元，其中：新增一般债券</w:t>
      </w:r>
      <w:r>
        <w:rPr>
          <w:rFonts w:hint="eastAsia" w:ascii="仿宋_GB2312" w:hAnsi="仿宋" w:eastAsia="仿宋_GB2312" w:cs="仿宋"/>
          <w:sz w:val="32"/>
          <w:szCs w:val="32"/>
          <w:lang w:val="en-US" w:eastAsia="zh-CN"/>
        </w:rPr>
        <w:t>2.24</w:t>
      </w:r>
      <w:r>
        <w:rPr>
          <w:rFonts w:hint="eastAsia" w:ascii="仿宋_GB2312" w:hAnsi="仿宋" w:eastAsia="仿宋_GB2312" w:cs="仿宋"/>
          <w:sz w:val="32"/>
          <w:szCs w:val="32"/>
        </w:rPr>
        <w:t>亿元，专项债券</w:t>
      </w:r>
      <w:r>
        <w:rPr>
          <w:rFonts w:hint="eastAsia" w:ascii="仿宋_GB2312" w:hAnsi="仿宋" w:eastAsia="仿宋_GB2312" w:cs="仿宋"/>
          <w:sz w:val="32"/>
          <w:szCs w:val="32"/>
          <w:lang w:val="en-US" w:eastAsia="zh-CN"/>
        </w:rPr>
        <w:t>5.15</w:t>
      </w:r>
      <w:r>
        <w:rPr>
          <w:rFonts w:hint="eastAsia" w:ascii="仿宋_GB2312" w:hAnsi="仿宋" w:eastAsia="仿宋_GB2312" w:cs="仿宋"/>
          <w:sz w:val="32"/>
          <w:szCs w:val="32"/>
        </w:rPr>
        <w:t>亿元。</w:t>
      </w:r>
    </w:p>
    <w:p w14:paraId="74702612">
      <w:pPr>
        <w:adjustRightInd w:val="0"/>
        <w:snapToGrid w:val="0"/>
        <w:spacing w:line="560" w:lineRule="exact"/>
        <w:ind w:firstLine="640" w:firstLineChars="200"/>
        <w:jc w:val="left"/>
        <w:rPr>
          <w:rFonts w:hint="eastAsia" w:ascii="仿宋_GB2312" w:hAnsi="仿宋" w:eastAsia="仿宋_GB2312" w:cs="仿宋"/>
          <w:sz w:val="32"/>
          <w:szCs w:val="32"/>
          <w:lang w:eastAsia="zh-CN"/>
        </w:rPr>
      </w:pPr>
      <w:r>
        <w:rPr>
          <w:rFonts w:hint="eastAsia" w:ascii="仿宋_GB2312" w:hAnsi="仿宋" w:eastAsia="仿宋_GB2312" w:cs="仿宋"/>
          <w:sz w:val="32"/>
          <w:szCs w:val="32"/>
        </w:rPr>
        <w:t>1、新增一般债券</w:t>
      </w:r>
      <w:r>
        <w:rPr>
          <w:rFonts w:hint="eastAsia" w:ascii="仿宋_GB2312" w:hAnsi="仿宋" w:eastAsia="仿宋_GB2312" w:cs="仿宋"/>
          <w:sz w:val="32"/>
          <w:szCs w:val="32"/>
          <w:lang w:val="en-US" w:eastAsia="zh-CN"/>
        </w:rPr>
        <w:t>2.24</w:t>
      </w:r>
      <w:r>
        <w:rPr>
          <w:rFonts w:hint="eastAsia" w:ascii="仿宋_GB2312" w:hAnsi="仿宋" w:eastAsia="仿宋_GB2312" w:cs="仿宋"/>
          <w:sz w:val="32"/>
          <w:szCs w:val="32"/>
        </w:rPr>
        <w:t>亿元，指定用于市政建设项目</w:t>
      </w:r>
      <w:r>
        <w:rPr>
          <w:rFonts w:hint="eastAsia" w:ascii="仿宋_GB2312" w:hAnsi="仿宋" w:eastAsia="仿宋_GB2312" w:cs="仿宋"/>
          <w:sz w:val="32"/>
          <w:szCs w:val="32"/>
          <w:lang w:val="en-US" w:eastAsia="zh-CN"/>
        </w:rPr>
        <w:t>5个0.558</w:t>
      </w:r>
      <w:r>
        <w:rPr>
          <w:rFonts w:hint="eastAsia" w:ascii="仿宋_GB2312" w:hAnsi="仿宋" w:eastAsia="仿宋_GB2312" w:cs="仿宋"/>
          <w:sz w:val="32"/>
          <w:szCs w:val="32"/>
        </w:rPr>
        <w:t>亿元</w:t>
      </w:r>
      <w:r>
        <w:rPr>
          <w:rFonts w:hint="eastAsia" w:ascii="仿宋_GB2312" w:hAnsi="仿宋" w:eastAsia="仿宋_GB2312" w:cs="仿宋"/>
          <w:sz w:val="32"/>
          <w:szCs w:val="32"/>
          <w:lang w:eastAsia="zh-CN"/>
        </w:rPr>
        <w:t>；交通道路项目</w:t>
      </w:r>
      <w:r>
        <w:rPr>
          <w:rFonts w:hint="eastAsia" w:ascii="仿宋_GB2312" w:hAnsi="仿宋" w:eastAsia="仿宋_GB2312" w:cs="仿宋"/>
          <w:sz w:val="32"/>
          <w:szCs w:val="32"/>
          <w:lang w:val="en-US" w:eastAsia="zh-CN"/>
        </w:rPr>
        <w:t>6个0.672亿元；生态环保项目2个0.04亿元；政法项目1个0.1亿元；灾害防治项目4个0.35亿元；保障性住房项目4个0.15亿元；水利工程项目5个0.24亿元；消防救援项目2个0.13亿元；</w:t>
      </w:r>
    </w:p>
    <w:p w14:paraId="40F932EE">
      <w:pPr>
        <w:adjustRightInd w:val="0"/>
        <w:snapToGrid w:val="0"/>
        <w:spacing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rPr>
        <w:t>2、新增专项债券项目</w:t>
      </w:r>
      <w:r>
        <w:rPr>
          <w:rFonts w:hint="eastAsia" w:ascii="仿宋_GB2312" w:hAnsi="仿宋" w:eastAsia="仿宋_GB2312" w:cs="仿宋"/>
          <w:sz w:val="32"/>
          <w:szCs w:val="32"/>
          <w:lang w:val="en-US" w:eastAsia="zh-CN"/>
        </w:rPr>
        <w:t>5.15</w:t>
      </w:r>
      <w:r>
        <w:rPr>
          <w:rFonts w:hint="eastAsia" w:ascii="仿宋_GB2312" w:hAnsi="仿宋" w:eastAsia="仿宋_GB2312" w:cs="仿宋"/>
          <w:sz w:val="32"/>
          <w:szCs w:val="32"/>
        </w:rPr>
        <w:t>亿元，指定用于教育体育建设项目1个</w:t>
      </w:r>
      <w:r>
        <w:rPr>
          <w:rFonts w:hint="eastAsia" w:ascii="仿宋_GB2312" w:hAnsi="仿宋" w:eastAsia="仿宋_GB2312" w:cs="仿宋"/>
          <w:sz w:val="32"/>
          <w:szCs w:val="32"/>
          <w:lang w:val="en-US" w:eastAsia="zh-CN"/>
        </w:rPr>
        <w:t>0.39</w:t>
      </w:r>
      <w:r>
        <w:rPr>
          <w:rFonts w:hint="eastAsia" w:ascii="仿宋_GB2312" w:hAnsi="仿宋" w:eastAsia="仿宋_GB2312" w:cs="仿宋"/>
          <w:sz w:val="32"/>
          <w:szCs w:val="32"/>
        </w:rPr>
        <w:t>亿元；</w:t>
      </w:r>
      <w:r>
        <w:rPr>
          <w:rFonts w:hint="eastAsia" w:ascii="仿宋_GB2312" w:hAnsi="仿宋" w:eastAsia="仿宋_GB2312" w:cs="仿宋"/>
          <w:sz w:val="32"/>
          <w:szCs w:val="32"/>
          <w:lang w:eastAsia="zh-CN"/>
        </w:rPr>
        <w:t>市政建设项目</w:t>
      </w:r>
      <w:r>
        <w:rPr>
          <w:rFonts w:hint="eastAsia" w:ascii="仿宋_GB2312" w:hAnsi="仿宋" w:eastAsia="仿宋_GB2312" w:cs="仿宋"/>
          <w:sz w:val="32"/>
          <w:szCs w:val="32"/>
          <w:lang w:val="en-US" w:eastAsia="zh-CN"/>
        </w:rPr>
        <w:t>3个1.1亿元；乡村振兴项目1个1.04亿元；生态环保项目2个0.78亿元；偿还存量隐性债务项目5个1.84亿元</w:t>
      </w:r>
      <w:r>
        <w:rPr>
          <w:rFonts w:hint="eastAsia" w:ascii="仿宋_GB2312" w:hAnsi="仿宋" w:eastAsia="仿宋_GB2312" w:cs="仿宋"/>
          <w:sz w:val="32"/>
          <w:szCs w:val="32"/>
          <w:lang w:eastAsia="zh-CN"/>
        </w:rPr>
        <w:t>。</w:t>
      </w:r>
    </w:p>
    <w:p w14:paraId="3DC6B8B8">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四、202</w:t>
      </w:r>
      <w:r>
        <w:rPr>
          <w:rFonts w:hint="eastAsia" w:ascii="黑体" w:hAnsi="黑体" w:eastAsia="黑体"/>
          <w:sz w:val="32"/>
          <w:szCs w:val="32"/>
          <w:lang w:val="en-US" w:eastAsia="zh-CN"/>
        </w:rPr>
        <w:t>4</w:t>
      </w:r>
      <w:r>
        <w:rPr>
          <w:rFonts w:hint="eastAsia" w:ascii="黑体" w:hAnsi="黑体" w:eastAsia="黑体"/>
          <w:sz w:val="32"/>
          <w:szCs w:val="32"/>
        </w:rPr>
        <w:t>年到期债券本金偿还及再融资情况。</w:t>
      </w:r>
    </w:p>
    <w:p w14:paraId="35533DD6">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年当年到期债务本息</w:t>
      </w:r>
      <w:r>
        <w:rPr>
          <w:rFonts w:hint="eastAsia" w:ascii="仿宋_GB2312" w:eastAsia="仿宋_GB2312"/>
          <w:sz w:val="32"/>
          <w:szCs w:val="32"/>
          <w:lang w:val="en-US" w:eastAsia="zh-CN"/>
        </w:rPr>
        <w:t>6.35</w:t>
      </w:r>
      <w:r>
        <w:rPr>
          <w:rFonts w:hint="eastAsia" w:ascii="仿宋_GB2312" w:eastAsia="仿宋_GB2312"/>
          <w:sz w:val="32"/>
          <w:szCs w:val="32"/>
        </w:rPr>
        <w:t>亿元，其中：到期债券本金</w:t>
      </w:r>
      <w:r>
        <w:rPr>
          <w:rFonts w:hint="eastAsia" w:ascii="仿宋_GB2312" w:eastAsia="仿宋_GB2312"/>
          <w:sz w:val="32"/>
          <w:szCs w:val="32"/>
          <w:lang w:val="en-US" w:eastAsia="zh-CN"/>
        </w:rPr>
        <w:t>4.38</w:t>
      </w:r>
      <w:r>
        <w:rPr>
          <w:rFonts w:hint="eastAsia" w:ascii="仿宋_GB2312" w:eastAsia="仿宋_GB2312"/>
          <w:sz w:val="32"/>
          <w:szCs w:val="32"/>
        </w:rPr>
        <w:t>亿元（一般债券</w:t>
      </w:r>
      <w:r>
        <w:rPr>
          <w:rFonts w:hint="eastAsia" w:ascii="仿宋_GB2312" w:eastAsia="仿宋_GB2312"/>
          <w:sz w:val="32"/>
          <w:szCs w:val="32"/>
          <w:lang w:val="en-US" w:eastAsia="zh-CN"/>
        </w:rPr>
        <w:t>0.32</w:t>
      </w:r>
      <w:r>
        <w:rPr>
          <w:rFonts w:hint="eastAsia" w:ascii="仿宋_GB2312" w:eastAsia="仿宋_GB2312"/>
          <w:sz w:val="32"/>
          <w:szCs w:val="32"/>
        </w:rPr>
        <w:t>亿元，专项债券</w:t>
      </w:r>
      <w:r>
        <w:rPr>
          <w:rFonts w:hint="eastAsia" w:ascii="仿宋_GB2312" w:eastAsia="仿宋_GB2312"/>
          <w:sz w:val="32"/>
          <w:szCs w:val="32"/>
          <w:lang w:val="en-US" w:eastAsia="zh-CN"/>
        </w:rPr>
        <w:t>4.06</w:t>
      </w:r>
      <w:r>
        <w:rPr>
          <w:rFonts w:hint="eastAsia" w:ascii="仿宋_GB2312" w:eastAsia="仿宋_GB2312"/>
          <w:sz w:val="32"/>
          <w:szCs w:val="32"/>
        </w:rPr>
        <w:t>亿元），到期利息</w:t>
      </w:r>
      <w:r>
        <w:rPr>
          <w:rFonts w:hint="eastAsia" w:ascii="仿宋_GB2312" w:eastAsia="仿宋_GB2312"/>
          <w:sz w:val="32"/>
          <w:szCs w:val="32"/>
          <w:lang w:val="en-US" w:eastAsia="zh-CN"/>
        </w:rPr>
        <w:t>1.97</w:t>
      </w:r>
      <w:r>
        <w:rPr>
          <w:rFonts w:hint="eastAsia" w:ascii="仿宋_GB2312" w:eastAsia="仿宋_GB2312"/>
          <w:sz w:val="32"/>
          <w:szCs w:val="32"/>
        </w:rPr>
        <w:t>亿元。到期债券再融资</w:t>
      </w:r>
      <w:r>
        <w:rPr>
          <w:rFonts w:hint="eastAsia" w:ascii="仿宋_GB2312" w:eastAsia="仿宋_GB2312"/>
          <w:sz w:val="32"/>
          <w:szCs w:val="32"/>
          <w:lang w:val="en-US" w:eastAsia="zh-CN"/>
        </w:rPr>
        <w:t>3.94</w:t>
      </w:r>
      <w:r>
        <w:rPr>
          <w:rFonts w:hint="eastAsia" w:ascii="仿宋_GB2312" w:eastAsia="仿宋_GB2312"/>
          <w:sz w:val="32"/>
          <w:szCs w:val="32"/>
        </w:rPr>
        <w:t>亿元，其中，一般债券再融资</w:t>
      </w:r>
      <w:r>
        <w:rPr>
          <w:rFonts w:hint="eastAsia" w:ascii="仿宋_GB2312" w:eastAsia="仿宋_GB2312"/>
          <w:sz w:val="32"/>
          <w:szCs w:val="32"/>
          <w:lang w:val="en-US" w:eastAsia="zh-CN"/>
        </w:rPr>
        <w:t>0.29</w:t>
      </w:r>
      <w:r>
        <w:rPr>
          <w:rFonts w:hint="eastAsia" w:ascii="仿宋_GB2312" w:eastAsia="仿宋_GB2312"/>
          <w:sz w:val="32"/>
          <w:szCs w:val="32"/>
        </w:rPr>
        <w:t>亿元，专项债券再融资</w:t>
      </w:r>
      <w:r>
        <w:rPr>
          <w:rFonts w:hint="eastAsia" w:ascii="仿宋_GB2312" w:eastAsia="仿宋_GB2312"/>
          <w:sz w:val="32"/>
          <w:szCs w:val="32"/>
          <w:lang w:val="en-US" w:eastAsia="zh-CN"/>
        </w:rPr>
        <w:t>3.65</w:t>
      </w:r>
      <w:r>
        <w:rPr>
          <w:rFonts w:hint="eastAsia" w:ascii="仿宋_GB2312" w:eastAsia="仿宋_GB2312"/>
          <w:sz w:val="32"/>
          <w:szCs w:val="32"/>
        </w:rPr>
        <w:t>亿元。县财政实际偿还本金</w:t>
      </w:r>
      <w:r>
        <w:rPr>
          <w:rFonts w:ascii="仿宋_GB2312" w:eastAsia="仿宋_GB2312"/>
          <w:sz w:val="32"/>
          <w:szCs w:val="32"/>
        </w:rPr>
        <w:t>0</w:t>
      </w:r>
      <w:r>
        <w:rPr>
          <w:rFonts w:hint="eastAsia" w:ascii="仿宋_GB2312" w:eastAsia="仿宋_GB2312"/>
          <w:sz w:val="32"/>
          <w:szCs w:val="32"/>
          <w:lang w:val="en-US" w:eastAsia="zh-CN"/>
        </w:rPr>
        <w:t>.44</w:t>
      </w:r>
      <w:r>
        <w:rPr>
          <w:rFonts w:hint="eastAsia" w:ascii="仿宋_GB2312" w:eastAsia="仿宋_GB2312"/>
          <w:sz w:val="32"/>
          <w:szCs w:val="32"/>
        </w:rPr>
        <w:t>亿元（一般债券</w:t>
      </w:r>
      <w:r>
        <w:rPr>
          <w:rFonts w:ascii="仿宋_GB2312" w:eastAsia="仿宋_GB2312"/>
          <w:sz w:val="32"/>
          <w:szCs w:val="32"/>
        </w:rPr>
        <w:t>0.</w:t>
      </w:r>
      <w:r>
        <w:rPr>
          <w:rFonts w:hint="eastAsia" w:ascii="仿宋_GB2312" w:eastAsia="仿宋_GB2312"/>
          <w:sz w:val="32"/>
          <w:szCs w:val="32"/>
          <w:lang w:val="en-US" w:eastAsia="zh-CN"/>
        </w:rPr>
        <w:t>03</w:t>
      </w:r>
      <w:r>
        <w:rPr>
          <w:rFonts w:hint="eastAsia" w:ascii="仿宋_GB2312" w:eastAsia="仿宋_GB2312"/>
          <w:sz w:val="32"/>
          <w:szCs w:val="32"/>
        </w:rPr>
        <w:t>亿元，专项债券</w:t>
      </w:r>
      <w:r>
        <w:rPr>
          <w:rFonts w:ascii="仿宋_GB2312" w:eastAsia="仿宋_GB2312"/>
          <w:sz w:val="32"/>
          <w:szCs w:val="32"/>
        </w:rPr>
        <w:t>0</w:t>
      </w:r>
      <w:r>
        <w:rPr>
          <w:rFonts w:hint="eastAsia" w:ascii="仿宋_GB2312" w:eastAsia="仿宋_GB2312"/>
          <w:sz w:val="32"/>
          <w:szCs w:val="32"/>
          <w:lang w:val="en-US" w:eastAsia="zh-CN"/>
        </w:rPr>
        <w:t>.41</w:t>
      </w:r>
      <w:r>
        <w:rPr>
          <w:rFonts w:hint="eastAsia" w:ascii="仿宋_GB2312" w:eastAsia="仿宋_GB2312"/>
          <w:sz w:val="32"/>
          <w:szCs w:val="32"/>
        </w:rPr>
        <w:t>亿元）。</w:t>
      </w:r>
    </w:p>
    <w:p w14:paraId="742F8959">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五、20</w:t>
      </w:r>
      <w:r>
        <w:rPr>
          <w:rFonts w:ascii="黑体" w:hAnsi="黑体" w:eastAsia="黑体"/>
          <w:sz w:val="32"/>
          <w:szCs w:val="32"/>
        </w:rPr>
        <w:t>2</w:t>
      </w:r>
      <w:r>
        <w:rPr>
          <w:rFonts w:hint="eastAsia" w:ascii="黑体" w:hAnsi="黑体" w:eastAsia="黑体"/>
          <w:sz w:val="32"/>
          <w:szCs w:val="32"/>
          <w:lang w:val="en-US" w:eastAsia="zh-CN"/>
        </w:rPr>
        <w:t>4</w:t>
      </w:r>
      <w:r>
        <w:rPr>
          <w:rFonts w:hint="eastAsia" w:ascii="黑体" w:hAnsi="黑体" w:eastAsia="黑体"/>
          <w:sz w:val="32"/>
          <w:szCs w:val="32"/>
        </w:rPr>
        <w:t>年债务管理情况</w:t>
      </w:r>
    </w:p>
    <w:p w14:paraId="5581DD3F">
      <w:pPr>
        <w:adjustRightInd w:val="0"/>
        <w:snapToGrid w:val="0"/>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（一）新增债券资金的管理工作开展情况</w:t>
      </w:r>
    </w:p>
    <w:p w14:paraId="0C473CCC">
      <w:pPr>
        <w:adjustRightInd w:val="0"/>
        <w:snapToGrid w:val="0"/>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1、对使用债券资金的项目单位进行自查，加快新增债券支出进度。</w:t>
      </w:r>
    </w:p>
    <w:p w14:paraId="486E66DB">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根据河北省财政厅《关于</w:t>
      </w:r>
      <w:r>
        <w:rPr>
          <w:rFonts w:hint="eastAsia" w:ascii="仿宋_GB2312" w:hAnsi="黑体" w:eastAsia="仿宋_GB2312"/>
          <w:sz w:val="32"/>
          <w:szCs w:val="32"/>
          <w:lang w:eastAsia="zh-CN"/>
        </w:rPr>
        <w:t>加快</w:t>
      </w:r>
      <w:r>
        <w:rPr>
          <w:rFonts w:hint="eastAsia" w:ascii="仿宋_GB2312" w:hAnsi="黑体" w:eastAsia="仿宋_GB2312"/>
          <w:sz w:val="32"/>
          <w:szCs w:val="32"/>
        </w:rPr>
        <w:t>专项债券</w:t>
      </w:r>
      <w:r>
        <w:rPr>
          <w:rFonts w:hint="eastAsia" w:ascii="仿宋_GB2312" w:hAnsi="黑体" w:eastAsia="仿宋_GB2312"/>
          <w:sz w:val="32"/>
          <w:szCs w:val="32"/>
          <w:lang w:eastAsia="zh-CN"/>
        </w:rPr>
        <w:t>资金</w:t>
      </w:r>
      <w:r>
        <w:rPr>
          <w:rFonts w:hint="eastAsia" w:ascii="仿宋_GB2312" w:hAnsi="黑体" w:eastAsia="仿宋_GB2312"/>
          <w:sz w:val="32"/>
          <w:szCs w:val="32"/>
        </w:rPr>
        <w:t>支出</w:t>
      </w:r>
      <w:r>
        <w:rPr>
          <w:rFonts w:hint="eastAsia" w:ascii="仿宋_GB2312" w:hAnsi="黑体" w:eastAsia="仿宋_GB2312"/>
          <w:sz w:val="32"/>
          <w:szCs w:val="32"/>
          <w:lang w:eastAsia="zh-CN"/>
        </w:rPr>
        <w:t>和化解债务</w:t>
      </w:r>
      <w:r>
        <w:rPr>
          <w:rFonts w:hint="eastAsia" w:ascii="仿宋_GB2312" w:hAnsi="黑体" w:eastAsia="仿宋_GB2312"/>
          <w:sz w:val="32"/>
          <w:szCs w:val="32"/>
        </w:rPr>
        <w:t>工作的通知》、河北省财政厅《</w:t>
      </w:r>
      <w:r>
        <w:rPr>
          <w:rFonts w:hint="eastAsia" w:ascii="仿宋_GB2312" w:hAnsi="黑体" w:eastAsia="仿宋_GB2312"/>
          <w:sz w:val="32"/>
          <w:szCs w:val="32"/>
          <w:lang w:eastAsia="zh-CN"/>
        </w:rPr>
        <w:t>关于开展规范</w:t>
      </w:r>
      <w:r>
        <w:rPr>
          <w:rFonts w:hint="eastAsia" w:ascii="仿宋_GB2312" w:hAnsi="黑体" w:eastAsia="仿宋_GB2312"/>
          <w:sz w:val="32"/>
          <w:szCs w:val="32"/>
          <w:lang w:val="en-US" w:eastAsia="zh-CN"/>
        </w:rPr>
        <w:t>2023年专项债券资金使用管理督导服务的通知</w:t>
      </w:r>
      <w:r>
        <w:rPr>
          <w:rFonts w:hint="eastAsia" w:ascii="仿宋_GB2312" w:hAnsi="黑体" w:eastAsia="仿宋_GB2312"/>
          <w:sz w:val="32"/>
          <w:szCs w:val="32"/>
        </w:rPr>
        <w:t>》及河北省财政厅《关于做好202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年专项债券资金使用管理情况核查整改工作的通知》（冀财债〔202</w:t>
      </w: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sz w:val="32"/>
          <w:szCs w:val="32"/>
          <w:lang w:val="en-US" w:eastAsia="zh-CN"/>
        </w:rPr>
        <w:t>32</w:t>
      </w:r>
      <w:r>
        <w:rPr>
          <w:rFonts w:hint="eastAsia" w:ascii="仿宋_GB2312" w:hAnsi="黑体" w:eastAsia="仿宋_GB2312"/>
          <w:sz w:val="32"/>
          <w:szCs w:val="32"/>
        </w:rPr>
        <w:t>号）要求，针对实际情况下达文件对项目主管单位逐一核查，确保资金使用符合要求，督促项目单位加快工程进度，按申报债券的工程进度按时拨付资金，尽快形成实物工程量。同时县政府专题调度等方式，督促项目主管部门加快办理相关手续，早日形成支出。</w:t>
      </w:r>
    </w:p>
    <w:p w14:paraId="6344E980">
      <w:pPr>
        <w:adjustRightInd w:val="0"/>
        <w:snapToGrid w:val="0"/>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2、加强债券资金使用单位的监管，确保债券资金不被截留、挤占和挪用，不用于经常性支出。</w:t>
      </w:r>
    </w:p>
    <w:p w14:paraId="3B9E8D64">
      <w:pPr>
        <w:adjustRightInd w:val="0"/>
        <w:snapToGrid w:val="0"/>
        <w:spacing w:line="560" w:lineRule="exact"/>
        <w:ind w:firstLine="640" w:firstLineChars="20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rPr>
        <w:t>政府债务风险防范化解工作开展情况</w:t>
      </w:r>
      <w:r>
        <w:rPr>
          <w:rFonts w:hint="eastAsia" w:ascii="仿宋_GB2312" w:hAnsi="仿宋_GB2312" w:eastAsia="仿宋_GB2312" w:cs="仿宋_GB2312"/>
          <w:b w:val="0"/>
          <w:bCs/>
          <w:sz w:val="32"/>
          <w:szCs w:val="32"/>
          <w:lang w:val="en-US" w:eastAsia="zh-CN"/>
        </w:rPr>
        <w:t>:</w:t>
      </w:r>
    </w:p>
    <w:p w14:paraId="7C6CF1AA">
      <w:pPr>
        <w:adjustRightInd w:val="0"/>
        <w:snapToGrid w:val="0"/>
        <w:spacing w:line="560" w:lineRule="exact"/>
        <w:ind w:firstLine="646"/>
        <w:rPr>
          <w:rFonts w:ascii="仿宋_GB2312" w:eastAsia="仿宋_GB2312"/>
          <w:sz w:val="32"/>
          <w:szCs w:val="32"/>
        </w:rPr>
      </w:pPr>
      <w:r>
        <w:rPr>
          <w:rFonts w:hint="eastAsia" w:ascii="仿宋_GB2312" w:eastAsia="仿宋_GB2312"/>
          <w:sz w:val="32"/>
          <w:szCs w:val="32"/>
        </w:rPr>
        <w:t>1、严格落实隐性债务化解方案，督促债务单位按时化解隐性存量债务，坚决避免群体性债务风</w:t>
      </w:r>
      <w:bookmarkStart w:id="0" w:name="_GoBack"/>
      <w:bookmarkEnd w:id="0"/>
      <w:r>
        <w:rPr>
          <w:rFonts w:hint="eastAsia" w:ascii="仿宋_GB2312" w:eastAsia="仿宋_GB2312"/>
          <w:sz w:val="32"/>
          <w:szCs w:val="32"/>
        </w:rPr>
        <w:t>险事件发生。</w:t>
      </w:r>
    </w:p>
    <w:p w14:paraId="32A56250">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2、按照年度政府债务还本规模及上级政府债券借新还旧有关政策，足额争取申报上级再融资债券，在原有再融资政策的基础上，为缓解了我县财政压力，又争取了到期新增专项债券再融资</w:t>
      </w:r>
      <w:r>
        <w:rPr>
          <w:rFonts w:hint="eastAsia" w:ascii="仿宋_GB2312" w:eastAsia="仿宋_GB2312"/>
          <w:sz w:val="32"/>
          <w:szCs w:val="32"/>
          <w:lang w:val="en-US" w:eastAsia="zh-CN"/>
        </w:rPr>
        <w:t>3.94</w:t>
      </w:r>
      <w:r>
        <w:rPr>
          <w:rFonts w:hint="eastAsia" w:ascii="仿宋_GB2312" w:eastAsia="仿宋_GB2312"/>
          <w:sz w:val="32"/>
          <w:szCs w:val="32"/>
        </w:rPr>
        <w:t>亿元。政府债务还本付息支出列入年初预算，顺利通过省财政厅前置审核。政府债务收支情况经县人大常委会批复，全部列入年度调整预算。</w:t>
      </w:r>
    </w:p>
    <w:p w14:paraId="750C5CFC">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3、通过跟踪、监测、分析、评估债务数据，定期排查政府性债务风险隐患，监督债务管理工作推进情况。建立长效管控机制，采取拓宽财源渠道、优化支出结构、加强预算审核和改进财政管理等措施，确保不发生政府性债务风险。</w:t>
      </w:r>
    </w:p>
    <w:p w14:paraId="6BDFBC79">
      <w:pPr>
        <w:adjustRightInd w:val="0"/>
        <w:snapToGrid w:val="0"/>
        <w:spacing w:line="560" w:lineRule="exact"/>
        <w:ind w:firstLine="640" w:firstLineChars="200"/>
        <w:rPr>
          <w:rFonts w:ascii="仿宋_GB2312" w:hAnsi="黑体" w:eastAsia="仿宋_GB2312"/>
          <w:sz w:val="32"/>
          <w:szCs w:val="32"/>
        </w:rPr>
      </w:pPr>
      <w:r>
        <w:rPr>
          <w:rFonts w:hint="eastAsia" w:ascii="仿宋_GB2312" w:eastAsia="仿宋_GB2312"/>
          <w:sz w:val="32"/>
          <w:szCs w:val="32"/>
        </w:rPr>
        <w:t>4、为防范和化解债务风险，严控单位举债行为，根据河北省</w:t>
      </w:r>
      <w:r>
        <w:rPr>
          <w:rFonts w:hint="eastAsia" w:ascii="仿宋_GB2312" w:eastAsia="仿宋_GB2312"/>
          <w:sz w:val="32"/>
          <w:szCs w:val="32"/>
          <w:lang w:eastAsia="zh-CN"/>
        </w:rPr>
        <w:t>财政厅</w:t>
      </w:r>
      <w:r>
        <w:rPr>
          <w:rFonts w:hint="eastAsia" w:ascii="仿宋_GB2312" w:eastAsia="仿宋_GB2312"/>
          <w:sz w:val="32"/>
          <w:szCs w:val="32"/>
        </w:rPr>
        <w:t>《关于</w:t>
      </w:r>
      <w:r>
        <w:rPr>
          <w:rFonts w:hint="eastAsia" w:ascii="仿宋_GB2312" w:eastAsia="仿宋_GB2312"/>
          <w:sz w:val="32"/>
          <w:szCs w:val="32"/>
          <w:lang w:eastAsia="zh-CN"/>
        </w:rPr>
        <w:t>配合做好财政部河北监管局</w:t>
      </w:r>
      <w:r>
        <w:rPr>
          <w:rFonts w:hint="eastAsia" w:ascii="仿宋_GB2312" w:eastAsia="仿宋_GB2312"/>
          <w:sz w:val="32"/>
          <w:szCs w:val="32"/>
          <w:lang w:val="en-US" w:eastAsia="zh-CN"/>
        </w:rPr>
        <w:t>2023年隐性债务化解核查工作的通知</w:t>
      </w:r>
      <w:r>
        <w:rPr>
          <w:rFonts w:hint="eastAsia" w:ascii="仿宋_GB2312" w:eastAsia="仿宋_GB2312"/>
          <w:sz w:val="32"/>
          <w:szCs w:val="32"/>
        </w:rPr>
        <w:t>》和相关上级文件精神，隆化县政府性债务管理领导小组办公室对全县所有单位债务情况进行多次实地核查及在“监测平台”系统线上审查，确保不出现系统性、区域性债务风险。</w:t>
      </w:r>
    </w:p>
    <w:p w14:paraId="3C0386E8">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六、202</w:t>
      </w:r>
      <w:r>
        <w:rPr>
          <w:rFonts w:hint="eastAsia" w:ascii="黑体" w:hAnsi="黑体" w:eastAsia="黑体"/>
          <w:sz w:val="32"/>
          <w:szCs w:val="32"/>
          <w:lang w:val="en-US" w:eastAsia="zh-CN"/>
        </w:rPr>
        <w:t>5</w:t>
      </w:r>
      <w:r>
        <w:rPr>
          <w:rFonts w:hint="eastAsia" w:ascii="黑体" w:hAnsi="黑体" w:eastAsia="黑体"/>
          <w:sz w:val="32"/>
          <w:szCs w:val="32"/>
        </w:rPr>
        <w:t>工作计划</w:t>
      </w:r>
    </w:p>
    <w:p w14:paraId="11AF670D">
      <w:pPr>
        <w:adjustRightInd w:val="0"/>
        <w:snapToGrid w:val="0"/>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（一）重新细化隐性债务化解方案。</w:t>
      </w:r>
      <w:r>
        <w:rPr>
          <w:rFonts w:hint="eastAsia" w:ascii="仿宋_GB2312" w:hAnsi="黑体" w:eastAsia="仿宋_GB2312"/>
          <w:sz w:val="32"/>
          <w:szCs w:val="32"/>
        </w:rPr>
        <w:t>根据省市工作要求，我县对财政部监测平台隐性债务化解计划进行重新细化，争取2028年之前全部化解完成。督促债务单位按时化解隐性存量债务，坚决避免群体性债务风险事件发生。</w:t>
      </w:r>
    </w:p>
    <w:p w14:paraId="50B3EE77">
      <w:pPr>
        <w:adjustRightInd w:val="0"/>
        <w:snapToGrid w:val="0"/>
        <w:spacing w:line="560" w:lineRule="exact"/>
        <w:ind w:firstLine="643" w:firstLineChars="200"/>
        <w:rPr>
          <w:rFonts w:ascii="仿宋_GB2312" w:hAnsi="黑体" w:eastAsia="仿宋_GB2312"/>
          <w:sz w:val="32"/>
          <w:szCs w:val="32"/>
        </w:rPr>
      </w:pPr>
      <w:r>
        <w:rPr>
          <w:rFonts w:hint="eastAsia" w:ascii="楷体_GB2312" w:hAnsi="黑体" w:eastAsia="楷体_GB2312"/>
          <w:b/>
          <w:sz w:val="32"/>
          <w:szCs w:val="32"/>
        </w:rPr>
        <w:t>（二）研究制定债券资金支出督导机制。</w:t>
      </w:r>
      <w:r>
        <w:rPr>
          <w:rFonts w:hint="eastAsia" w:ascii="仿宋_GB2312" w:hAnsi="黑体" w:eastAsia="仿宋_GB2312"/>
          <w:sz w:val="32"/>
          <w:szCs w:val="32"/>
        </w:rPr>
        <w:t>及时了解安排债券资金的项目实施进展情况，督促债务单位抓紧时间支出以前年度新增债券资金，形成实物工作量。</w:t>
      </w:r>
    </w:p>
    <w:p w14:paraId="7D8D6AFD">
      <w:pPr>
        <w:adjustRightInd w:val="0"/>
        <w:snapToGrid w:val="0"/>
        <w:spacing w:line="560" w:lineRule="exact"/>
        <w:ind w:firstLine="643" w:firstLineChars="200"/>
        <w:rPr>
          <w:rFonts w:ascii="仿宋_GB2312" w:hAnsi="黑体" w:eastAsia="仿宋_GB2312"/>
          <w:sz w:val="32"/>
          <w:szCs w:val="32"/>
        </w:rPr>
      </w:pPr>
      <w:r>
        <w:rPr>
          <w:rFonts w:hint="eastAsia" w:ascii="楷体_GB2312" w:hAnsi="黑体" w:eastAsia="楷体_GB2312"/>
          <w:b/>
          <w:sz w:val="32"/>
          <w:szCs w:val="32"/>
        </w:rPr>
        <w:t>（三）提前部署202</w:t>
      </w:r>
      <w:r>
        <w:rPr>
          <w:rFonts w:hint="eastAsia" w:ascii="楷体_GB2312" w:hAnsi="黑体" w:eastAsia="楷体_GB2312"/>
          <w:b/>
          <w:sz w:val="32"/>
          <w:szCs w:val="32"/>
          <w:lang w:val="en-US" w:eastAsia="zh-CN"/>
        </w:rPr>
        <w:t>5</w:t>
      </w:r>
      <w:r>
        <w:rPr>
          <w:rFonts w:hint="eastAsia" w:ascii="楷体_GB2312" w:hAnsi="黑体" w:eastAsia="楷体_GB2312"/>
          <w:b/>
          <w:sz w:val="32"/>
          <w:szCs w:val="32"/>
        </w:rPr>
        <w:t>年新增政府债券申报工作。</w:t>
      </w:r>
      <w:r>
        <w:rPr>
          <w:rFonts w:hint="eastAsia" w:ascii="仿宋_GB2312" w:hAnsi="黑体" w:eastAsia="仿宋_GB2312"/>
          <w:sz w:val="32"/>
          <w:szCs w:val="32"/>
        </w:rPr>
        <w:t>为增加债券项目的成熟度和财政、发改双通过率，我县自202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年8月份就开始召开协调会，筹备202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年债券项目的储备工作，督促项目单位提前准备及完善项目相关手续及资料，常态化储备债券项目。</w:t>
      </w:r>
    </w:p>
    <w:p w14:paraId="18EA7FA2">
      <w:pPr>
        <w:adjustRightInd w:val="0"/>
        <w:snapToGrid w:val="0"/>
        <w:spacing w:line="560" w:lineRule="exact"/>
        <w:ind w:firstLine="4800" w:firstLineChars="1500"/>
        <w:rPr>
          <w:rFonts w:ascii="仿宋_GB2312" w:eastAsia="仿宋_GB2312" w:hAnsiTheme="minorEastAsia"/>
          <w:color w:val="000000" w:themeColor="text1"/>
          <w:sz w:val="32"/>
          <w:szCs w:val="32"/>
          <w:shd w:val="clear" w:color="auto" w:fill="FFFFFF"/>
          <w14:textFill>
            <w14:solidFill>
              <w14:schemeClr w14:val="tx1"/>
            </w14:solidFill>
          </w14:textFill>
        </w:rPr>
      </w:pPr>
    </w:p>
    <w:sectPr>
      <w:headerReference r:id="rId3" w:type="default"/>
      <w:pgSz w:w="11906" w:h="16838"/>
      <w:pgMar w:top="1418"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966C6">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jNzk4MTQ5MzY0MjNmMTUzYzU3MjYzMTEyZmQ2YWUifQ=="/>
  </w:docVars>
  <w:rsids>
    <w:rsidRoot w:val="003014C5"/>
    <w:rsid w:val="00042C58"/>
    <w:rsid w:val="00056BF2"/>
    <w:rsid w:val="00075369"/>
    <w:rsid w:val="00082AD0"/>
    <w:rsid w:val="000A18E7"/>
    <w:rsid w:val="000B6C2C"/>
    <w:rsid w:val="000B7624"/>
    <w:rsid w:val="000C370C"/>
    <w:rsid w:val="00111DCF"/>
    <w:rsid w:val="00134802"/>
    <w:rsid w:val="00136CB5"/>
    <w:rsid w:val="001416E3"/>
    <w:rsid w:val="001678B6"/>
    <w:rsid w:val="00171A2F"/>
    <w:rsid w:val="001A59C9"/>
    <w:rsid w:val="001C06B7"/>
    <w:rsid w:val="001E38D4"/>
    <w:rsid w:val="00223B80"/>
    <w:rsid w:val="002A4B50"/>
    <w:rsid w:val="002A5104"/>
    <w:rsid w:val="002B5440"/>
    <w:rsid w:val="002B6667"/>
    <w:rsid w:val="002E5DAE"/>
    <w:rsid w:val="003014C5"/>
    <w:rsid w:val="00346C20"/>
    <w:rsid w:val="00350358"/>
    <w:rsid w:val="00364C47"/>
    <w:rsid w:val="0038016B"/>
    <w:rsid w:val="00394993"/>
    <w:rsid w:val="003A3D72"/>
    <w:rsid w:val="003D390E"/>
    <w:rsid w:val="00402221"/>
    <w:rsid w:val="004063D7"/>
    <w:rsid w:val="00446807"/>
    <w:rsid w:val="00472161"/>
    <w:rsid w:val="0047773B"/>
    <w:rsid w:val="00480483"/>
    <w:rsid w:val="004C37B4"/>
    <w:rsid w:val="004F76EF"/>
    <w:rsid w:val="005058AD"/>
    <w:rsid w:val="00505A25"/>
    <w:rsid w:val="00547B65"/>
    <w:rsid w:val="0056248D"/>
    <w:rsid w:val="00572C07"/>
    <w:rsid w:val="005A150C"/>
    <w:rsid w:val="005D1654"/>
    <w:rsid w:val="005E695F"/>
    <w:rsid w:val="005F61E8"/>
    <w:rsid w:val="0060045F"/>
    <w:rsid w:val="0061010F"/>
    <w:rsid w:val="00683145"/>
    <w:rsid w:val="006B21B7"/>
    <w:rsid w:val="006C2E56"/>
    <w:rsid w:val="006F274F"/>
    <w:rsid w:val="00720064"/>
    <w:rsid w:val="00740AE3"/>
    <w:rsid w:val="00743B5C"/>
    <w:rsid w:val="00744EC1"/>
    <w:rsid w:val="0078026F"/>
    <w:rsid w:val="00780B41"/>
    <w:rsid w:val="007A64BD"/>
    <w:rsid w:val="00805FE1"/>
    <w:rsid w:val="00813B65"/>
    <w:rsid w:val="00834B6D"/>
    <w:rsid w:val="0084256F"/>
    <w:rsid w:val="00846A03"/>
    <w:rsid w:val="008C42A8"/>
    <w:rsid w:val="008D4B46"/>
    <w:rsid w:val="008E7ABF"/>
    <w:rsid w:val="00952BE8"/>
    <w:rsid w:val="00956438"/>
    <w:rsid w:val="00962B00"/>
    <w:rsid w:val="009D6D13"/>
    <w:rsid w:val="009F7A46"/>
    <w:rsid w:val="00A514B1"/>
    <w:rsid w:val="00AA260C"/>
    <w:rsid w:val="00AB2127"/>
    <w:rsid w:val="00AC0EDF"/>
    <w:rsid w:val="00AD2804"/>
    <w:rsid w:val="00AF4E92"/>
    <w:rsid w:val="00B90591"/>
    <w:rsid w:val="00BA0B2D"/>
    <w:rsid w:val="00BF493E"/>
    <w:rsid w:val="00C138AB"/>
    <w:rsid w:val="00C925EE"/>
    <w:rsid w:val="00CB5CE5"/>
    <w:rsid w:val="00CF1EE8"/>
    <w:rsid w:val="00E02203"/>
    <w:rsid w:val="00E212A2"/>
    <w:rsid w:val="00EA61E2"/>
    <w:rsid w:val="00EA62C8"/>
    <w:rsid w:val="00EC4573"/>
    <w:rsid w:val="00ED6B5B"/>
    <w:rsid w:val="00EE4B82"/>
    <w:rsid w:val="00F00F61"/>
    <w:rsid w:val="00F306A1"/>
    <w:rsid w:val="00F62422"/>
    <w:rsid w:val="00F7327A"/>
    <w:rsid w:val="00F81B6B"/>
    <w:rsid w:val="00FB17B6"/>
    <w:rsid w:val="00FF1FE8"/>
    <w:rsid w:val="00FF248D"/>
    <w:rsid w:val="01E23011"/>
    <w:rsid w:val="02A36C44"/>
    <w:rsid w:val="02D84414"/>
    <w:rsid w:val="03355BD3"/>
    <w:rsid w:val="035B0116"/>
    <w:rsid w:val="041871BE"/>
    <w:rsid w:val="043B4291"/>
    <w:rsid w:val="04A62A1C"/>
    <w:rsid w:val="05A52CD4"/>
    <w:rsid w:val="05AB7BBE"/>
    <w:rsid w:val="06E31D05"/>
    <w:rsid w:val="070E6657"/>
    <w:rsid w:val="07F67CA2"/>
    <w:rsid w:val="08561AC9"/>
    <w:rsid w:val="08562EA1"/>
    <w:rsid w:val="09137F54"/>
    <w:rsid w:val="0980684D"/>
    <w:rsid w:val="09D65B51"/>
    <w:rsid w:val="0A7D516B"/>
    <w:rsid w:val="0ACE1B5D"/>
    <w:rsid w:val="0B464611"/>
    <w:rsid w:val="0B5C5BE2"/>
    <w:rsid w:val="0B882E7B"/>
    <w:rsid w:val="0C2A5CE1"/>
    <w:rsid w:val="0C476893"/>
    <w:rsid w:val="0C943AA2"/>
    <w:rsid w:val="0DF50570"/>
    <w:rsid w:val="0F543075"/>
    <w:rsid w:val="0FC315CE"/>
    <w:rsid w:val="0FCE6C21"/>
    <w:rsid w:val="0FFC3E38"/>
    <w:rsid w:val="1232769D"/>
    <w:rsid w:val="12CA19B5"/>
    <w:rsid w:val="134A0A16"/>
    <w:rsid w:val="14432035"/>
    <w:rsid w:val="14AA60ED"/>
    <w:rsid w:val="152534E9"/>
    <w:rsid w:val="16135A37"/>
    <w:rsid w:val="189C0982"/>
    <w:rsid w:val="19704F4F"/>
    <w:rsid w:val="199D21E8"/>
    <w:rsid w:val="19AF7293"/>
    <w:rsid w:val="1B94321A"/>
    <w:rsid w:val="1C4242FF"/>
    <w:rsid w:val="1C7E19F6"/>
    <w:rsid w:val="1CAE2016"/>
    <w:rsid w:val="1D532BBD"/>
    <w:rsid w:val="1E285DF8"/>
    <w:rsid w:val="1E303662"/>
    <w:rsid w:val="1E764DB5"/>
    <w:rsid w:val="1EC27FFB"/>
    <w:rsid w:val="1F0776F5"/>
    <w:rsid w:val="1F67159E"/>
    <w:rsid w:val="1F972C71"/>
    <w:rsid w:val="218E0668"/>
    <w:rsid w:val="21F765EE"/>
    <w:rsid w:val="22401962"/>
    <w:rsid w:val="22993768"/>
    <w:rsid w:val="22CA56D0"/>
    <w:rsid w:val="238B4E5F"/>
    <w:rsid w:val="248977DE"/>
    <w:rsid w:val="252F1C88"/>
    <w:rsid w:val="26AD333E"/>
    <w:rsid w:val="2758774E"/>
    <w:rsid w:val="27675BE3"/>
    <w:rsid w:val="28E55011"/>
    <w:rsid w:val="29581C87"/>
    <w:rsid w:val="296C4F48"/>
    <w:rsid w:val="29736AC1"/>
    <w:rsid w:val="2AB63109"/>
    <w:rsid w:val="2B465570"/>
    <w:rsid w:val="2BAC62BA"/>
    <w:rsid w:val="2C300C99"/>
    <w:rsid w:val="2C7755B8"/>
    <w:rsid w:val="2C862667"/>
    <w:rsid w:val="2D126B9F"/>
    <w:rsid w:val="2D746964"/>
    <w:rsid w:val="2DAA05D8"/>
    <w:rsid w:val="2E3A5DFF"/>
    <w:rsid w:val="2EDE2C2F"/>
    <w:rsid w:val="3095731D"/>
    <w:rsid w:val="30AC4667"/>
    <w:rsid w:val="319F7354"/>
    <w:rsid w:val="32180206"/>
    <w:rsid w:val="32EE0F67"/>
    <w:rsid w:val="33B65B9E"/>
    <w:rsid w:val="33D53B72"/>
    <w:rsid w:val="341449FD"/>
    <w:rsid w:val="35AB133E"/>
    <w:rsid w:val="360E263D"/>
    <w:rsid w:val="3678662D"/>
    <w:rsid w:val="36A007CA"/>
    <w:rsid w:val="36AD2EE7"/>
    <w:rsid w:val="36C263DC"/>
    <w:rsid w:val="37160A8C"/>
    <w:rsid w:val="3736112E"/>
    <w:rsid w:val="39050DB8"/>
    <w:rsid w:val="392E030F"/>
    <w:rsid w:val="39400042"/>
    <w:rsid w:val="39B27192"/>
    <w:rsid w:val="3A4606E3"/>
    <w:rsid w:val="3A4F7CF4"/>
    <w:rsid w:val="3AD958C8"/>
    <w:rsid w:val="3B742225"/>
    <w:rsid w:val="3C21415B"/>
    <w:rsid w:val="3C836BC3"/>
    <w:rsid w:val="3D6562C9"/>
    <w:rsid w:val="3D980375"/>
    <w:rsid w:val="3DB50FFF"/>
    <w:rsid w:val="3DE713D4"/>
    <w:rsid w:val="3E6D3465"/>
    <w:rsid w:val="3ECA2888"/>
    <w:rsid w:val="3EE6168C"/>
    <w:rsid w:val="3FE536F1"/>
    <w:rsid w:val="403D52DB"/>
    <w:rsid w:val="412D70FE"/>
    <w:rsid w:val="412F2E76"/>
    <w:rsid w:val="42442951"/>
    <w:rsid w:val="42C45840"/>
    <w:rsid w:val="43972F54"/>
    <w:rsid w:val="43D2242F"/>
    <w:rsid w:val="43D917BF"/>
    <w:rsid w:val="441647C1"/>
    <w:rsid w:val="45F621B4"/>
    <w:rsid w:val="46E878B4"/>
    <w:rsid w:val="4791382C"/>
    <w:rsid w:val="47A42D8A"/>
    <w:rsid w:val="48DB1B35"/>
    <w:rsid w:val="49567B4E"/>
    <w:rsid w:val="497E2B42"/>
    <w:rsid w:val="498C682C"/>
    <w:rsid w:val="49E3340D"/>
    <w:rsid w:val="49FC1D63"/>
    <w:rsid w:val="4A280DAA"/>
    <w:rsid w:val="4A62250E"/>
    <w:rsid w:val="4AD056CA"/>
    <w:rsid w:val="4B490FD8"/>
    <w:rsid w:val="4BAD1567"/>
    <w:rsid w:val="4BF058F8"/>
    <w:rsid w:val="4C522FDC"/>
    <w:rsid w:val="4CA92473"/>
    <w:rsid w:val="4CC36B68"/>
    <w:rsid w:val="4DBC3CE3"/>
    <w:rsid w:val="4DE1199C"/>
    <w:rsid w:val="4E5008D0"/>
    <w:rsid w:val="4F027E1C"/>
    <w:rsid w:val="4F3A5808"/>
    <w:rsid w:val="4F3D2C02"/>
    <w:rsid w:val="4F8A74F2"/>
    <w:rsid w:val="4FD72B23"/>
    <w:rsid w:val="50901457"/>
    <w:rsid w:val="50B213CE"/>
    <w:rsid w:val="52081BED"/>
    <w:rsid w:val="526037D7"/>
    <w:rsid w:val="534053B7"/>
    <w:rsid w:val="537A2677"/>
    <w:rsid w:val="543071D9"/>
    <w:rsid w:val="54EA4DF8"/>
    <w:rsid w:val="5543118E"/>
    <w:rsid w:val="55524F2D"/>
    <w:rsid w:val="55DD0C9B"/>
    <w:rsid w:val="56206DD9"/>
    <w:rsid w:val="56FC3325"/>
    <w:rsid w:val="570861EB"/>
    <w:rsid w:val="570D1A54"/>
    <w:rsid w:val="572D4B3A"/>
    <w:rsid w:val="57452F9B"/>
    <w:rsid w:val="58C779E0"/>
    <w:rsid w:val="58E3481A"/>
    <w:rsid w:val="59701EDF"/>
    <w:rsid w:val="598633F7"/>
    <w:rsid w:val="59AF0BA0"/>
    <w:rsid w:val="5A7F67C4"/>
    <w:rsid w:val="5B01542B"/>
    <w:rsid w:val="5B657D03"/>
    <w:rsid w:val="5B6F05E7"/>
    <w:rsid w:val="5BA20FB6"/>
    <w:rsid w:val="5BE452FA"/>
    <w:rsid w:val="5C3A6E47"/>
    <w:rsid w:val="5D107BA8"/>
    <w:rsid w:val="5DE132F2"/>
    <w:rsid w:val="5E4A2CDD"/>
    <w:rsid w:val="5E8600E4"/>
    <w:rsid w:val="5F061262"/>
    <w:rsid w:val="5F8B79B9"/>
    <w:rsid w:val="60DC0D5B"/>
    <w:rsid w:val="623205C0"/>
    <w:rsid w:val="63931944"/>
    <w:rsid w:val="640D6BEF"/>
    <w:rsid w:val="64656A2B"/>
    <w:rsid w:val="64E21E2A"/>
    <w:rsid w:val="65F91B21"/>
    <w:rsid w:val="65FF6A0B"/>
    <w:rsid w:val="661204ED"/>
    <w:rsid w:val="664E395F"/>
    <w:rsid w:val="66560AC6"/>
    <w:rsid w:val="68246BFD"/>
    <w:rsid w:val="684B5F38"/>
    <w:rsid w:val="68BE495C"/>
    <w:rsid w:val="697F233D"/>
    <w:rsid w:val="6A026ACA"/>
    <w:rsid w:val="6A072332"/>
    <w:rsid w:val="6A721EA2"/>
    <w:rsid w:val="6A7259FE"/>
    <w:rsid w:val="6A89513B"/>
    <w:rsid w:val="6B8E4D79"/>
    <w:rsid w:val="6BC8789F"/>
    <w:rsid w:val="6C570A57"/>
    <w:rsid w:val="6CBD4F2A"/>
    <w:rsid w:val="6CEB7CE9"/>
    <w:rsid w:val="6D1A412B"/>
    <w:rsid w:val="6D6830E8"/>
    <w:rsid w:val="6DB77BCC"/>
    <w:rsid w:val="6E380D0C"/>
    <w:rsid w:val="6E641B01"/>
    <w:rsid w:val="6EFC7F8C"/>
    <w:rsid w:val="7016507D"/>
    <w:rsid w:val="70282352"/>
    <w:rsid w:val="704C0A9F"/>
    <w:rsid w:val="70B37390"/>
    <w:rsid w:val="71681909"/>
    <w:rsid w:val="71C07633"/>
    <w:rsid w:val="720D425E"/>
    <w:rsid w:val="7251239D"/>
    <w:rsid w:val="728F1117"/>
    <w:rsid w:val="72A46970"/>
    <w:rsid w:val="74AA2238"/>
    <w:rsid w:val="74AC7D5E"/>
    <w:rsid w:val="752D5343"/>
    <w:rsid w:val="75431E11"/>
    <w:rsid w:val="769D2054"/>
    <w:rsid w:val="77440722"/>
    <w:rsid w:val="776B2153"/>
    <w:rsid w:val="785E1CB7"/>
    <w:rsid w:val="79E81EBB"/>
    <w:rsid w:val="7AD16771"/>
    <w:rsid w:val="7BF2699E"/>
    <w:rsid w:val="7C52743D"/>
    <w:rsid w:val="7CD75B94"/>
    <w:rsid w:val="7D1666BD"/>
    <w:rsid w:val="7E0B1F99"/>
    <w:rsid w:val="7E132BFC"/>
    <w:rsid w:val="7ECA59B1"/>
    <w:rsid w:val="7F0B7D77"/>
    <w:rsid w:val="7F1C6954"/>
    <w:rsid w:val="7F370B6C"/>
    <w:rsid w:val="7F995383"/>
    <w:rsid w:val="7FBD3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List Number"/>
    <w:basedOn w:val="1"/>
    <w:autoRedefine/>
    <w:semiHidden/>
    <w:unhideWhenUsed/>
    <w:qFormat/>
    <w:uiPriority w:val="99"/>
    <w:pPr>
      <w:tabs>
        <w:tab w:val="left" w:pos="360"/>
      </w:tabs>
      <w:ind w:left="360" w:hanging="360" w:hangingChars="200"/>
      <w:contextualSpacing/>
    </w:pPr>
  </w:style>
  <w:style w:type="paragraph" w:styleId="3">
    <w:name w:val="Date"/>
    <w:basedOn w:val="1"/>
    <w:next w:val="1"/>
    <w:link w:val="10"/>
    <w:autoRedefine/>
    <w:semiHidden/>
    <w:unhideWhenUsed/>
    <w:qFormat/>
    <w:uiPriority w:val="99"/>
    <w:pPr>
      <w:ind w:left="100" w:leftChars="2500"/>
    </w:p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autoRedefine/>
    <w:qFormat/>
    <w:uiPriority w:val="99"/>
    <w:rPr>
      <w:sz w:val="18"/>
      <w:szCs w:val="18"/>
    </w:rPr>
  </w:style>
  <w:style w:type="character" w:customStyle="1" w:styleId="9">
    <w:name w:val="页脚 Char"/>
    <w:basedOn w:val="7"/>
    <w:link w:val="4"/>
    <w:autoRedefine/>
    <w:qFormat/>
    <w:uiPriority w:val="99"/>
    <w:rPr>
      <w:sz w:val="18"/>
      <w:szCs w:val="18"/>
    </w:rPr>
  </w:style>
  <w:style w:type="character" w:customStyle="1" w:styleId="10">
    <w:name w:val="日期 Char"/>
    <w:basedOn w:val="7"/>
    <w:link w:val="3"/>
    <w:autoRedefine/>
    <w:semiHidden/>
    <w:qFormat/>
    <w:uiPriority w:val="99"/>
  </w:style>
  <w:style w:type="paragraph" w:customStyle="1" w:styleId="11">
    <w:name w:val="正文列表编号"/>
    <w:basedOn w:val="2"/>
    <w:next w:val="2"/>
    <w:autoRedefine/>
    <w:qFormat/>
    <w:uiPriority w:val="0"/>
    <w:pPr>
      <w:widowControl/>
      <w:spacing w:beforeLines="50" w:line="360" w:lineRule="auto"/>
      <w:ind w:left="1600" w:hanging="200" w:firstLineChars="0"/>
      <w:jc w:val="left"/>
    </w:pPr>
    <w:rPr>
      <w:rFonts w:ascii="Verdana" w:hAnsi="Verdana" w:eastAsia="宋体" w:cs="Times New Roman"/>
      <w:kern w:val="0"/>
      <w:sz w:val="24"/>
      <w:szCs w:val="28"/>
      <w:lang w:eastAsia="en-US"/>
    </w:rPr>
  </w:style>
  <w:style w:type="paragraph" w:styleId="1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1658</Words>
  <Characters>1872</Characters>
  <Lines>14</Lines>
  <Paragraphs>4</Paragraphs>
  <TotalTime>97</TotalTime>
  <ScaleCrop>false</ScaleCrop>
  <LinksUpToDate>false</LinksUpToDate>
  <CharactersWithSpaces>1872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2019-04-02T06:14:00Z</dcterms:created>
  <dc:creator>admin</dc:creator>
  <cp:lastModifiedBy>夏天de微笑</cp:lastModifiedBy>
  <cp:lastPrinted>2017-06-02T07:49:00Z</cp:lastPrinted>
  <dcterms:modified xsi:type="dcterms:W3CDTF">2025-03-11T03:55:31Z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A86162CBC2F3404B9D5ED2F1CDB2EC0B</vt:lpwstr>
  </property>
  <property fmtid="{D5CDD505-2E9C-101B-9397-08002B2CF9AE}" pid="4" name="KSOTemplateDocerSaveRecord">
    <vt:lpwstr>eyJoZGlkIjoiZDFjNzk4MTQ5MzY0MjNmMTUzYzU3MjYzMTEyZmQ2YWUiLCJ1c2VySWQiOiIxMDI2NzA4NTMyIn0=</vt:lpwstr>
  </property>
</Properties>
</file>