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等线" w:eastAsia="方正小标宋简体"/>
          <w:bCs/>
          <w:sz w:val="44"/>
          <w:szCs w:val="44"/>
        </w:rPr>
      </w:pPr>
      <w:r>
        <w:rPr>
          <w:rFonts w:hint="eastAsia" w:ascii="方正小标宋简体" w:hAnsi="等线" w:eastAsia="方正小标宋简体"/>
          <w:bCs/>
          <w:sz w:val="44"/>
          <w:szCs w:val="44"/>
        </w:rPr>
        <w:t>隆化县202</w:t>
      </w:r>
      <w:r>
        <w:rPr>
          <w:rFonts w:hint="eastAsia" w:ascii="方正小标宋简体" w:hAnsi="等线" w:eastAsia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等线" w:eastAsia="方正小标宋简体"/>
          <w:bCs/>
          <w:sz w:val="44"/>
          <w:szCs w:val="44"/>
        </w:rPr>
        <w:t>年绩效预算开展情况</w:t>
      </w:r>
    </w:p>
    <w:p>
      <w:pPr>
        <w:spacing w:line="600" w:lineRule="exact"/>
        <w:ind w:firstLine="529" w:firstLineChars="175"/>
        <w:rPr>
          <w:rFonts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深入推进预算绩效管理改革是建设高效、责任、透明政府的有效举措。近年来，在省厅、市局领导的大力指导、支持和帮助下，我县着力在“完</w:t>
      </w:r>
      <w:r>
        <w:rPr>
          <w:rFonts w:hint="eastAsia" w:ascii="仿宋_GB2312" w:hAnsi="仿宋_GB2312" w:eastAsia="仿宋_GB2312" w:cs="仿宋_GB2312"/>
          <w:kern w:val="0"/>
          <w:szCs w:val="32"/>
        </w:rPr>
        <w:t>善预算绩效管理体系、财政预算资金使用问效精准、评价结果合理应用</w:t>
      </w:r>
      <w:r>
        <w:rPr>
          <w:rFonts w:hint="eastAsia" w:ascii="仿宋_GB2312" w:hAnsi="仿宋_GB2312" w:eastAsia="仿宋_GB2312" w:cs="仿宋_GB2312"/>
          <w:szCs w:val="32"/>
        </w:rPr>
        <w:t>”</w:t>
      </w:r>
      <w:r>
        <w:rPr>
          <w:rFonts w:hint="eastAsia" w:ascii="仿宋_GB2312" w:hAnsi="仿宋_GB2312" w:eastAsia="仿宋_GB2312" w:cs="仿宋_GB2312"/>
          <w:kern w:val="0"/>
          <w:szCs w:val="32"/>
        </w:rPr>
        <w:t>等</w:t>
      </w:r>
      <w:r>
        <w:rPr>
          <w:rFonts w:hint="eastAsia" w:ascii="仿宋_GB2312" w:hAnsi="仿宋_GB2312" w:eastAsia="仿宋_GB2312" w:cs="仿宋_GB2312"/>
          <w:szCs w:val="32"/>
        </w:rPr>
        <w:t>方面进行了大胆探索和实践，预算绩效管理改革扎实推进，财政管理水平明显提高。</w:t>
      </w:r>
    </w:p>
    <w:p>
      <w:pPr>
        <w:spacing w:line="600" w:lineRule="exact"/>
        <w:ind w:firstLine="529" w:firstLineChars="175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一、</w:t>
      </w:r>
      <w:r>
        <w:rPr>
          <w:rFonts w:hint="eastAsia" w:ascii="黑体" w:hAnsi="黑体" w:eastAsia="黑体"/>
          <w:szCs w:val="32"/>
        </w:rPr>
        <w:t>人员到位、</w:t>
      </w:r>
      <w:r>
        <w:rPr>
          <w:rFonts w:hint="eastAsia" w:ascii="黑体" w:hAnsi="黑体" w:eastAsia="黑体"/>
          <w:bCs/>
          <w:szCs w:val="32"/>
        </w:rPr>
        <w:t>硬件上位，</w:t>
      </w:r>
      <w:r>
        <w:rPr>
          <w:rFonts w:hint="eastAsia" w:ascii="黑体" w:hAnsi="黑体" w:eastAsia="黑体"/>
          <w:szCs w:val="32"/>
        </w:rPr>
        <w:t>全面夯实预算绩效管理改革基础</w:t>
      </w:r>
    </w:p>
    <w:p>
      <w:pPr>
        <w:spacing w:line="600" w:lineRule="exact"/>
        <w:ind w:firstLine="529" w:firstLineChars="175"/>
        <w:rPr>
          <w:rFonts w:ascii="仿宋_GB2312" w:hAnsi="仿宋_GB2312" w:eastAsia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b/>
          <w:szCs w:val="32"/>
        </w:rPr>
        <w:t>一是建立“1+N”绩效管理制度体系。</w:t>
      </w:r>
      <w:r>
        <w:rPr>
          <w:rFonts w:hint="eastAsia" w:ascii="仿宋_GB2312" w:hAnsi="仿宋_GB2312" w:eastAsia="仿宋_GB2312" w:cs="仿宋_GB2312"/>
          <w:bCs/>
          <w:szCs w:val="32"/>
        </w:rPr>
        <w:t>县委、县政府历来高度重视绩效工作，出台了《隆化县全面实施预算绩效管理实施意见》。在此基础上，县财政</w:t>
      </w:r>
      <w:r>
        <w:rPr>
          <w:rFonts w:hint="eastAsia" w:ascii="仿宋_GB2312" w:hAnsi="仿宋_GB2312" w:eastAsia="仿宋_GB2312" w:cs="仿宋_GB2312"/>
          <w:szCs w:val="32"/>
        </w:rPr>
        <w:t>相继出台了事前评估、绩效目标、绩效监控、绩效评价等近10项相关管理制度。</w:t>
      </w:r>
      <w:r>
        <w:rPr>
          <w:rFonts w:hint="eastAsia" w:ascii="仿宋_GB2312" w:eastAsia="仿宋_GB2312"/>
          <w:szCs w:val="32"/>
        </w:rPr>
        <w:t>建立符合隆化县实际的分行业、分领域指标体系。</w:t>
      </w:r>
      <w:r>
        <w:rPr>
          <w:rFonts w:hint="eastAsia" w:ascii="仿宋_GB2312" w:hAnsi="仿宋_GB2312" w:eastAsia="仿宋_GB2312" w:cs="仿宋_GB2312"/>
          <w:szCs w:val="32"/>
        </w:rPr>
        <w:t>构建“绩效联络员”工作制，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把好三道关口（部门审核关、资金业务股室审核关、预算绩效审核关），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加大绩效管理人员培训力度，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打造三个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造就一支能适应新时代要求的绩效管理队伍。</w:t>
      </w:r>
      <w:r>
        <w:rPr>
          <w:rFonts w:hint="eastAsia" w:ascii="仿宋_GB2312" w:hAnsi="Calibri" w:eastAsia="仿宋_GB2312" w:cs="Times New Roman"/>
          <w:szCs w:val="32"/>
        </w:rPr>
        <w:t>目前，</w:t>
      </w:r>
      <w:r>
        <w:rPr>
          <w:rFonts w:hint="eastAsia" w:ascii="仿宋_GB2312" w:hAnsi="Verdana" w:eastAsia="仿宋_GB2312" w:cs="宋体"/>
          <w:color w:val="000000"/>
        </w:rPr>
        <w:t>全县353个一级预算部门和二级预算单位（包括学校、卫生院、林场等）绩效管理体系已建成，依托</w:t>
      </w:r>
      <w:r>
        <w:rPr>
          <w:rFonts w:hint="eastAsia" w:ascii="仿宋_GB2312" w:hAnsi="仿宋" w:eastAsia="仿宋_GB2312" w:cs="仿宋_GB2312"/>
          <w:color w:val="000000"/>
        </w:rPr>
        <w:t>“河北省财政一体化系统”，实现了预算绩效管理</w:t>
      </w:r>
      <w:r>
        <w:rPr>
          <w:rFonts w:hint="eastAsia" w:ascii="仿宋_GB2312" w:hAnsi="Verdana" w:eastAsia="仿宋_GB2312" w:cs="宋体"/>
          <w:color w:val="000000"/>
        </w:rPr>
        <w:t>全覆盖。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</w:rPr>
      </w:pPr>
      <w:r>
        <w:rPr>
          <w:rFonts w:hint="eastAsia" w:ascii="楷体_GB2312" w:hAnsi="黑体" w:eastAsia="楷体_GB2312"/>
          <w:b/>
          <w:szCs w:val="32"/>
        </w:rPr>
        <w:t>二是搭建财政综合服务管理平台。</w:t>
      </w:r>
      <w:r>
        <w:rPr>
          <w:rFonts w:hint="eastAsia" w:ascii="仿宋_GB2312" w:eastAsia="仿宋_GB2312"/>
          <w:szCs w:val="32"/>
        </w:rPr>
        <w:t>定制开发“财政综合服务管理平台”，构建事前、事中、事后全流程信息化管理平台。通过项目信息智能归类（按照项目属性或者项目类型等枚举形式对项目情况进行自动归集）、绩效指标智慧选择（预制</w:t>
      </w:r>
      <w:r>
        <w:rPr>
          <w:rFonts w:hint="eastAsia" w:ascii="仿宋_GB2312" w:eastAsia="仿宋_GB2312"/>
          <w:szCs w:val="32"/>
          <w:lang w:val="en-US" w:eastAsia="zh-CN"/>
        </w:rPr>
        <w:t>分行业分领域</w:t>
      </w:r>
      <w:r>
        <w:rPr>
          <w:rFonts w:hint="eastAsia" w:ascii="仿宋_GB2312" w:eastAsia="仿宋_GB2312"/>
          <w:szCs w:val="32"/>
        </w:rPr>
        <w:t>绩效指标常用模板或者部门自定义指标模板）、绩效监控智能对比（支持预算数、到位数、执行数等相关监控数据的同比和环比）、自评结果风险预警（数据分析，实施出具风险预警报表）等功能，实现全县预算绩效管理业务全流程支撑。自2</w:t>
      </w:r>
      <w:r>
        <w:rPr>
          <w:rFonts w:ascii="仿宋_GB2312" w:eastAsia="仿宋_GB2312"/>
          <w:szCs w:val="32"/>
        </w:rPr>
        <w:t>022</w:t>
      </w:r>
      <w:r>
        <w:rPr>
          <w:rFonts w:hint="eastAsia" w:ascii="仿宋_GB2312" w:eastAsia="仿宋_GB2312"/>
          <w:szCs w:val="32"/>
        </w:rPr>
        <w:t>年上线以来，系统已处理4</w:t>
      </w:r>
      <w:r>
        <w:rPr>
          <w:rFonts w:ascii="仿宋_GB2312" w:eastAsia="仿宋_GB2312"/>
          <w:szCs w:val="32"/>
        </w:rPr>
        <w:t>0754</w:t>
      </w:r>
      <w:r>
        <w:rPr>
          <w:rFonts w:hint="eastAsia" w:ascii="仿宋_GB2312" w:eastAsia="仿宋_GB2312"/>
          <w:szCs w:val="32"/>
        </w:rPr>
        <w:t>条交互数据，弥补了“一体化”系统管理的空白。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</w:rPr>
      </w:pPr>
      <w:r>
        <w:rPr>
          <w:rFonts w:hint="eastAsia" w:ascii="楷体_GB2312" w:eastAsia="楷体_GB2312"/>
          <w:b/>
          <w:szCs w:val="32"/>
        </w:rPr>
        <w:t>三是推进绩效管理考核机制建设。</w:t>
      </w:r>
      <w:r>
        <w:rPr>
          <w:rFonts w:hint="eastAsia" w:ascii="仿宋_GB2312" w:eastAsia="仿宋_GB2312"/>
          <w:szCs w:val="32"/>
        </w:rPr>
        <w:t>将预算绩效管理考核结果纳入全县高质量</w:t>
      </w:r>
      <w:r>
        <w:rPr>
          <w:rFonts w:hint="eastAsia" w:ascii="仿宋_GB2312" w:hAnsi="宋体" w:eastAsia="仿宋_GB2312" w:cs="宋体"/>
          <w:kern w:val="0"/>
          <w:szCs w:val="32"/>
        </w:rPr>
        <w:t>发展考核体系，考</w:t>
      </w:r>
      <w:r>
        <w:rPr>
          <w:rFonts w:hint="eastAsia" w:ascii="仿宋_GB2312" w:eastAsia="仿宋_GB2312"/>
          <w:szCs w:val="32"/>
        </w:rPr>
        <w:t>核结果报人民政府。2</w:t>
      </w:r>
      <w:r>
        <w:rPr>
          <w:rFonts w:ascii="仿宋_GB2312" w:eastAsia="仿宋_GB2312"/>
          <w:szCs w:val="32"/>
        </w:rPr>
        <w:t>022</w:t>
      </w:r>
      <w:r>
        <w:rPr>
          <w:rFonts w:hint="eastAsia" w:ascii="仿宋_GB2312" w:eastAsia="仿宋_GB2312"/>
          <w:szCs w:val="32"/>
        </w:rPr>
        <w:t>年末，将全县8</w:t>
      </w:r>
      <w:r>
        <w:rPr>
          <w:rFonts w:ascii="仿宋_GB2312" w:eastAsia="仿宋_GB2312"/>
          <w:szCs w:val="32"/>
        </w:rPr>
        <w:t>3</w:t>
      </w:r>
      <w:r>
        <w:rPr>
          <w:rFonts w:hint="eastAsia" w:ascii="仿宋_GB2312" w:eastAsia="仿宋_GB2312"/>
          <w:szCs w:val="32"/>
        </w:rPr>
        <w:t>个预算部门列入考核范围。各部门自评打分并提供电子版佐证资料。财政局组织相关股室现场打分，并予以排名通报。本次考核最高分9</w:t>
      </w:r>
      <w:r>
        <w:rPr>
          <w:rFonts w:ascii="仿宋_GB2312" w:eastAsia="仿宋_GB2312"/>
          <w:szCs w:val="32"/>
        </w:rPr>
        <w:t>7.6</w:t>
      </w:r>
      <w:r>
        <w:rPr>
          <w:rFonts w:hint="eastAsia" w:ascii="仿宋_GB2312" w:eastAsia="仿宋_GB2312"/>
          <w:szCs w:val="32"/>
        </w:rPr>
        <w:t>分，最低分为9</w:t>
      </w:r>
      <w:r>
        <w:rPr>
          <w:rFonts w:ascii="仿宋_GB2312" w:eastAsia="仿宋_GB2312"/>
          <w:szCs w:val="32"/>
        </w:rPr>
        <w:t>5.2</w:t>
      </w:r>
      <w:r>
        <w:rPr>
          <w:rFonts w:hint="eastAsia" w:ascii="仿宋_GB2312" w:eastAsia="仿宋_GB2312"/>
          <w:szCs w:val="32"/>
        </w:rPr>
        <w:t>分，平均分为9</w:t>
      </w:r>
      <w:r>
        <w:rPr>
          <w:rFonts w:ascii="仿宋_GB2312" w:eastAsia="仿宋_GB2312"/>
          <w:szCs w:val="32"/>
        </w:rPr>
        <w:t>5.3</w:t>
      </w:r>
      <w:r>
        <w:rPr>
          <w:rFonts w:hint="eastAsia" w:ascii="仿宋_GB2312" w:eastAsia="仿宋_GB2312"/>
          <w:szCs w:val="32"/>
        </w:rPr>
        <w:t>分，均达到优秀等级。预算绩效考核制度的实施，有力的促进了绩效管理工作的顺利开展。</w:t>
      </w:r>
    </w:p>
    <w:p>
      <w:pPr>
        <w:spacing w:line="600" w:lineRule="exact"/>
        <w:ind w:firstLine="529" w:firstLineChars="175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b/>
          <w:szCs w:val="32"/>
        </w:rPr>
        <w:t>二、</w:t>
      </w:r>
      <w:r>
        <w:rPr>
          <w:rFonts w:hint="eastAsia" w:ascii="黑体" w:hAnsi="黑体" w:eastAsia="黑体" w:cs="黑体"/>
          <w:szCs w:val="32"/>
        </w:rPr>
        <w:t>落实有力，多点发力，扎实推进预算绩效管理改革工作</w:t>
      </w:r>
    </w:p>
    <w:p>
      <w:pPr>
        <w:spacing w:line="600" w:lineRule="exact"/>
        <w:ind w:firstLine="529" w:firstLineChars="175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楷体_GB2312" w:eastAsia="楷体_GB2312"/>
          <w:b/>
          <w:szCs w:val="32"/>
        </w:rPr>
        <w:t>一是将绩效作为申报资金的前置条件。</w:t>
      </w:r>
      <w:r>
        <w:rPr>
          <w:rFonts w:hint="eastAsia" w:ascii="仿宋_GB2312" w:hAnsi="仿宋_GB2312" w:eastAsia="仿宋_GB2312" w:cs="仿宋_GB2312"/>
          <w:bCs/>
          <w:szCs w:val="32"/>
        </w:rPr>
        <w:t>年度预算编制和执行中，将绩效目标设置及新增项目事前评估作为资金安排的前置条件，建立部门自审、集中互审、股室复审、专家抽审的“四审机制”。夯实绩效目标编审责任，压实绩效目标编审质量，</w:t>
      </w:r>
      <w:r>
        <w:rPr>
          <w:rFonts w:hint="eastAsia" w:ascii="仿宋_GB2312" w:eastAsia="仿宋_GB2312"/>
          <w:szCs w:val="32"/>
        </w:rPr>
        <w:t>从源头上防控财政资源配置的低效无效。</w:t>
      </w:r>
      <w:r>
        <w:rPr>
          <w:rFonts w:hint="eastAsia" w:ascii="仿宋_GB2312" w:hAnsi="仿宋_GB2312" w:eastAsia="仿宋_GB2312" w:cs="仿宋_GB2312"/>
          <w:bCs/>
          <w:szCs w:val="32"/>
        </w:rPr>
        <w:t>组织人大代表、政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协</w:t>
      </w:r>
      <w:r>
        <w:rPr>
          <w:rFonts w:hint="eastAsia" w:ascii="仿宋_GB2312" w:hAnsi="仿宋_GB2312" w:eastAsia="仿宋_GB2312" w:cs="仿宋_GB2312"/>
          <w:bCs/>
          <w:szCs w:val="32"/>
        </w:rPr>
        <w:t>委员、相关部门，对重点项目绩效目标指标的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设定</w:t>
      </w:r>
      <w:r>
        <w:rPr>
          <w:rFonts w:hint="eastAsia" w:ascii="仿宋_GB2312" w:hAnsi="仿宋_GB2312" w:eastAsia="仿宋_GB2312" w:cs="仿宋_GB2312"/>
          <w:bCs/>
          <w:szCs w:val="32"/>
        </w:rPr>
        <w:t>规范、内容完整、量化细化、标准合理、内容匹配、预算匹配等进行现场沟通、评议审核，向目标精细化管理迈出重要一步。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二是开展项目日常监督、中期监控。做全做优日常监控和重点监控。</w:t>
      </w:r>
      <w:r>
        <w:rPr>
          <w:rFonts w:hint="eastAsia" w:ascii="仿宋_GB2312" w:eastAsia="仿宋_GB2312"/>
          <w:szCs w:val="32"/>
        </w:rPr>
        <w:t>对项目绩效目标实现程度和预算执行进度实行“双监控”。将一般公共预算、政府性基金预算、社保基金预算、国有资本经营预算“四本预算”所有项目资金纳入绩效监控范围，做到绩效监控数据线上报送，监控分析、监控预警等相关报表实时汇总。督促相关部门及时调整预算执行过程中的偏差，避免出现资金闲置沉淀和损失浪费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三是有序开展项目绩效评价。</w:t>
      </w:r>
      <w:r>
        <w:rPr>
          <w:rFonts w:hint="eastAsia" w:ascii="仿宋_GB2312" w:hAnsi="仿宋_GB2312" w:eastAsia="仿宋_GB2312" w:cs="仿宋_GB2312"/>
          <w:b/>
          <w:szCs w:val="32"/>
        </w:rPr>
        <w:t>一方面，实现绩效自评部门和项目资金全覆盖。</w:t>
      </w:r>
      <w:r>
        <w:rPr>
          <w:rFonts w:hint="eastAsia" w:ascii="仿宋_GB2312" w:hAnsi="仿宋_GB2312" w:eastAsia="仿宋_GB2312" w:cs="仿宋_GB2312"/>
          <w:szCs w:val="32"/>
        </w:rPr>
        <w:t>创新评价内容和方式，建立自评抽查复核机制，采取实地随机抽评方式，对部分项目实施复核再评价。开展对2</w:t>
      </w:r>
      <w:r>
        <w:rPr>
          <w:rFonts w:ascii="仿宋_GB2312" w:hAnsi="仿宋_GB2312" w:eastAsia="仿宋_GB2312" w:cs="仿宋_GB2312"/>
          <w:szCs w:val="32"/>
        </w:rPr>
        <w:t>022</w:t>
      </w:r>
      <w:r>
        <w:rPr>
          <w:rFonts w:hint="eastAsia" w:ascii="仿宋_GB2312" w:hAnsi="仿宋_GB2312" w:eastAsia="仿宋_GB2312" w:cs="仿宋_GB2312"/>
          <w:szCs w:val="32"/>
        </w:rPr>
        <w:t>年项目自评总计1881个，金额37.4亿元。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选取社会关注度高的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个重点民生项目进行财政重点评价，涉及资金2.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亿元。</w:t>
      </w:r>
      <w:r>
        <w:rPr>
          <w:rFonts w:hint="eastAsia" w:ascii="仿宋_GB2312" w:hAnsi="仿宋_GB2312" w:eastAsia="仿宋_GB2312" w:cs="仿宋_GB2312"/>
          <w:szCs w:val="32"/>
        </w:rPr>
        <w:t>全县除涉密项目外的所有绩效自评材料、整体支出报告、重点评价报告已编印成册，并报送人大，同步在隆化县政府网站公示。</w:t>
      </w:r>
      <w:r>
        <w:rPr>
          <w:rFonts w:hint="eastAsia" w:ascii="仿宋_GB2312" w:hAnsi="仿宋_GB2312" w:eastAsia="仿宋_GB2312" w:cs="仿宋_GB2312"/>
          <w:b/>
          <w:szCs w:val="32"/>
        </w:rPr>
        <w:t>另一方面，转变财政重点评价方式。</w:t>
      </w:r>
      <w:r>
        <w:rPr>
          <w:rFonts w:hint="eastAsia" w:ascii="仿宋_GB2312" w:hAnsi="仿宋_GB2312" w:eastAsia="仿宋_GB2312" w:cs="仿宋_GB2312"/>
          <w:bCs/>
          <w:szCs w:val="32"/>
        </w:rPr>
        <w:t>从目前财政工作情况看，资金主管</w:t>
      </w:r>
      <w:r>
        <w:rPr>
          <w:rFonts w:hint="eastAsia" w:ascii="仿宋_GB2312" w:hAnsi="仿宋_GB2312" w:eastAsia="仿宋_GB2312" w:cs="仿宋_GB2312"/>
          <w:szCs w:val="32"/>
        </w:rPr>
        <w:t>股室不仅要管“钱”，还要管好“项目”。自2022年开始，为了避免重点评价与财政业务脱节，改变以往“第三方”为主导的评价方式，由财政资金业管股室牵头，成立绩效股、评价股、行业专家、人大代表组成的评价领导小组。采取现场核查、会议分析研讨的方式开展工作，最终撰写重点评价报告。必要时邀请专家或“第三方”给予指导，提高财政重点评价的专业性和说服力，既节省财政资金，又提高业务股室业务水平。</w:t>
      </w:r>
    </w:p>
    <w:p>
      <w:pPr>
        <w:spacing w:line="600" w:lineRule="exact"/>
        <w:ind w:firstLine="529" w:firstLineChars="175"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三、</w:t>
      </w:r>
      <w:r>
        <w:rPr>
          <w:rFonts w:hint="eastAsia" w:ascii="黑体" w:hAnsi="黑体" w:eastAsia="黑体" w:cs="宋体"/>
          <w:kern w:val="0"/>
          <w:szCs w:val="32"/>
        </w:rPr>
        <w:t>勇于创新、</w:t>
      </w:r>
      <w:r>
        <w:rPr>
          <w:rFonts w:hint="eastAsia" w:ascii="黑体" w:hAnsi="黑体" w:eastAsia="黑体"/>
          <w:bCs/>
          <w:szCs w:val="32"/>
        </w:rPr>
        <w:t>纠建并举，确保绩效管理结果应用有实效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</w:rPr>
      </w:pPr>
      <w:r>
        <w:rPr>
          <w:rFonts w:hint="eastAsia" w:ascii="楷体_GB2312" w:eastAsia="楷体_GB2312"/>
          <w:b/>
          <w:szCs w:val="32"/>
        </w:rPr>
        <w:t>一是花钱要问效，做实编制阶段结果应用。</w:t>
      </w:r>
      <w:r>
        <w:rPr>
          <w:rFonts w:hint="eastAsia" w:ascii="仿宋_GB2312" w:eastAsia="仿宋_GB2312"/>
          <w:szCs w:val="32"/>
        </w:rPr>
        <w:t>全面推进绩效目标管理与预算编制实质性融合。利用“四审”工作制，应用于年初预算编制，为预算安排提供依据。2023年编制预算阶段，全县涉及近300个项目资金8亿元因绩效目标不合理、不规范、项目成熟度低，不予考虑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</w:rPr>
      </w:pPr>
      <w:r>
        <w:rPr>
          <w:rFonts w:hint="eastAsia" w:ascii="楷体_GB2312" w:eastAsia="楷体_GB2312"/>
          <w:b/>
          <w:szCs w:val="32"/>
        </w:rPr>
        <w:t>二是低效要纠偏，做实执行阶段结果应用。</w:t>
      </w:r>
      <w:r>
        <w:rPr>
          <w:rFonts w:hint="eastAsia" w:ascii="仿宋_GB2312" w:eastAsia="仿宋_GB2312"/>
          <w:szCs w:val="32"/>
        </w:rPr>
        <w:t>通过项目日常监控，督促预算单位加快项目推进，促进绩效目标顺利实现。对于预算执行进度慢的项目，提前下达纠偏预警提醒告知函，督促单位加快预算执行进度，避免财政资金沉淀。对县级安排的项目及单位在执行过程中未发挥效益的，在编制次年预算中不再安排此类项目。强化中期监控结果应用，</w:t>
      </w:r>
      <w:r>
        <w:rPr>
          <w:rFonts w:ascii="仿宋_GB2312" w:eastAsia="仿宋_GB2312"/>
          <w:szCs w:val="32"/>
        </w:rPr>
        <w:t>防范项目绩效目标偏离</w:t>
      </w:r>
      <w:r>
        <w:rPr>
          <w:rFonts w:hint="eastAsia" w:ascii="仿宋_GB2312" w:eastAsia="仿宋_GB2312"/>
          <w:szCs w:val="32"/>
        </w:rPr>
        <w:t>，提高财政资金使用效益。2023年预算执行中，涉及近70个项目1亿元因绩效目标发生偏离，县财政已暂停拨款。</w:t>
      </w:r>
    </w:p>
    <w:p>
      <w:pPr>
        <w:spacing w:line="600" w:lineRule="exact"/>
        <w:ind w:firstLine="529" w:firstLineChars="175"/>
        <w:rPr>
          <w:rFonts w:ascii="仿宋_GB2312" w:eastAsia="仿宋_GB2312"/>
          <w:szCs w:val="32"/>
          <w:highlight w:val="yellow"/>
        </w:rPr>
      </w:pPr>
      <w:r>
        <w:rPr>
          <w:rFonts w:hint="eastAsia" w:ascii="楷体_GB2312" w:eastAsia="楷体_GB2312"/>
          <w:b/>
          <w:szCs w:val="32"/>
        </w:rPr>
        <w:t>三是反馈要整改，做实评价阶段结果应用。</w:t>
      </w:r>
      <w:r>
        <w:rPr>
          <w:rFonts w:hint="eastAsia" w:ascii="仿宋_GB2312" w:eastAsia="仿宋_GB2312"/>
          <w:szCs w:val="32"/>
        </w:rPr>
        <w:t>建立绩效评价结果与预算安排和政策调整挂钩机制，对绩效评价较好的政策、项目优先保障，对重复、碎片化的政策和项目予以调整，对低效无效资金一律削减或取消，对长期沉淀的资金一律收回。并按照有关规定统筹用于亟需支持的领域，为县委、县政府重大项目决策部署提供依据支撑。2</w:t>
      </w:r>
      <w:r>
        <w:rPr>
          <w:rFonts w:ascii="仿宋_GB2312" w:eastAsia="仿宋_GB2312"/>
          <w:szCs w:val="32"/>
        </w:rPr>
        <w:t>022</w:t>
      </w:r>
      <w:r>
        <w:rPr>
          <w:rFonts w:hint="eastAsia" w:ascii="仿宋_GB2312" w:eastAsia="仿宋_GB2312"/>
          <w:szCs w:val="32"/>
        </w:rPr>
        <w:t>年县住建局污水处理提标改造项目申请债券资金9000万元，通过绩效评价结合成本监审核实，目前设备运转良好，水质正常，经提请县政府常务会议后不予安排。</w:t>
      </w:r>
    </w:p>
    <w:p>
      <w:pPr>
        <w:spacing w:line="600" w:lineRule="exact"/>
        <w:ind w:firstLine="529" w:firstLineChars="175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</w:rPr>
        <w:t>近年来，在上级财政部门的鼎力支持和帮助下，我县较好的完成了预算绩效改革工作，有力的破除当前财政收支矛盾突出等瓶颈和难题。下一步，我县将始终坚持绩效导向，牢记责任使命，整章建制，规范操作，时刻将绩效贯穿于财政工作全过程，继续深入推进预算绩效改革成效再上新台阶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701" w:right="1587" w:bottom="1701" w:left="1587" w:header="851" w:footer="992" w:gutter="0"/>
      <w:cols w:space="0" w:num="1"/>
      <w:docGrid w:type="linesAndChars" w:linePitch="610" w:charSpace="-38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51"/>
  <w:drawingGridVerticalSpacing w:val="3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iMTEwMTFhNGE0ZTc5NjUxYjBjODdkNWZkNzJhZWUifQ=="/>
  </w:docVars>
  <w:rsids>
    <w:rsidRoot w:val="00A5017B"/>
    <w:rsid w:val="000E1146"/>
    <w:rsid w:val="0012429B"/>
    <w:rsid w:val="001815BD"/>
    <w:rsid w:val="001C591F"/>
    <w:rsid w:val="0023799E"/>
    <w:rsid w:val="002C0956"/>
    <w:rsid w:val="00350F36"/>
    <w:rsid w:val="00404999"/>
    <w:rsid w:val="00430779"/>
    <w:rsid w:val="00430BC8"/>
    <w:rsid w:val="004475C2"/>
    <w:rsid w:val="00591AD6"/>
    <w:rsid w:val="005F404E"/>
    <w:rsid w:val="00666099"/>
    <w:rsid w:val="006A1A7A"/>
    <w:rsid w:val="006A3F26"/>
    <w:rsid w:val="006B7844"/>
    <w:rsid w:val="006D1AA9"/>
    <w:rsid w:val="00735720"/>
    <w:rsid w:val="00806A41"/>
    <w:rsid w:val="00832F30"/>
    <w:rsid w:val="008E6440"/>
    <w:rsid w:val="009269A2"/>
    <w:rsid w:val="009B48DA"/>
    <w:rsid w:val="009C04AA"/>
    <w:rsid w:val="00A02DD6"/>
    <w:rsid w:val="00A177A6"/>
    <w:rsid w:val="00A2367D"/>
    <w:rsid w:val="00A5017B"/>
    <w:rsid w:val="00A519C0"/>
    <w:rsid w:val="00AA215C"/>
    <w:rsid w:val="00B3728B"/>
    <w:rsid w:val="00B50FFE"/>
    <w:rsid w:val="00BF2446"/>
    <w:rsid w:val="00C27134"/>
    <w:rsid w:val="00C345FE"/>
    <w:rsid w:val="00C873E1"/>
    <w:rsid w:val="00CF2F24"/>
    <w:rsid w:val="00DB1C11"/>
    <w:rsid w:val="00E272B6"/>
    <w:rsid w:val="00EF1822"/>
    <w:rsid w:val="00F61308"/>
    <w:rsid w:val="00F916DD"/>
    <w:rsid w:val="00F9601B"/>
    <w:rsid w:val="018362EB"/>
    <w:rsid w:val="02DA63DE"/>
    <w:rsid w:val="03BB6210"/>
    <w:rsid w:val="049D23FA"/>
    <w:rsid w:val="04B15528"/>
    <w:rsid w:val="061E4834"/>
    <w:rsid w:val="07D97949"/>
    <w:rsid w:val="089D5EE4"/>
    <w:rsid w:val="0A082887"/>
    <w:rsid w:val="0AC534D0"/>
    <w:rsid w:val="0B97509C"/>
    <w:rsid w:val="0C601702"/>
    <w:rsid w:val="0C9413AC"/>
    <w:rsid w:val="0DED16BC"/>
    <w:rsid w:val="0FB81855"/>
    <w:rsid w:val="107514F4"/>
    <w:rsid w:val="107C6D27"/>
    <w:rsid w:val="10C34E5D"/>
    <w:rsid w:val="11EC57E6"/>
    <w:rsid w:val="12541D09"/>
    <w:rsid w:val="12BC78AF"/>
    <w:rsid w:val="13143247"/>
    <w:rsid w:val="133D09EF"/>
    <w:rsid w:val="13AF4D1D"/>
    <w:rsid w:val="13B642FE"/>
    <w:rsid w:val="140908D1"/>
    <w:rsid w:val="140B63F8"/>
    <w:rsid w:val="145002AE"/>
    <w:rsid w:val="16BC1A2F"/>
    <w:rsid w:val="17A10052"/>
    <w:rsid w:val="18691943"/>
    <w:rsid w:val="18AD3F21"/>
    <w:rsid w:val="18B52DD6"/>
    <w:rsid w:val="190855FC"/>
    <w:rsid w:val="1A736AA5"/>
    <w:rsid w:val="1BAD248A"/>
    <w:rsid w:val="1BB455C7"/>
    <w:rsid w:val="1C556DAA"/>
    <w:rsid w:val="1C84143D"/>
    <w:rsid w:val="1CCB706C"/>
    <w:rsid w:val="1D01483C"/>
    <w:rsid w:val="1D8D60CF"/>
    <w:rsid w:val="1DB94424"/>
    <w:rsid w:val="1DE136C7"/>
    <w:rsid w:val="1E8A6230"/>
    <w:rsid w:val="1EDE3B19"/>
    <w:rsid w:val="20085EE1"/>
    <w:rsid w:val="201D490F"/>
    <w:rsid w:val="20B3409F"/>
    <w:rsid w:val="21433D04"/>
    <w:rsid w:val="219D08AB"/>
    <w:rsid w:val="22D95913"/>
    <w:rsid w:val="23160915"/>
    <w:rsid w:val="234F5BD5"/>
    <w:rsid w:val="242F7EE0"/>
    <w:rsid w:val="246B28E3"/>
    <w:rsid w:val="24B228BF"/>
    <w:rsid w:val="26FB6888"/>
    <w:rsid w:val="27277595"/>
    <w:rsid w:val="27DF5656"/>
    <w:rsid w:val="280D678A"/>
    <w:rsid w:val="281407EA"/>
    <w:rsid w:val="28E9096D"/>
    <w:rsid w:val="296C128F"/>
    <w:rsid w:val="29AC1FD3"/>
    <w:rsid w:val="29D05CC2"/>
    <w:rsid w:val="2A7D74CC"/>
    <w:rsid w:val="2AD0584D"/>
    <w:rsid w:val="2B33475A"/>
    <w:rsid w:val="2BBF5FEE"/>
    <w:rsid w:val="2C142425"/>
    <w:rsid w:val="2CA83CB6"/>
    <w:rsid w:val="2D213878"/>
    <w:rsid w:val="2DB87198"/>
    <w:rsid w:val="2DF6381D"/>
    <w:rsid w:val="2E6B420B"/>
    <w:rsid w:val="2ED40002"/>
    <w:rsid w:val="2EDB7A3A"/>
    <w:rsid w:val="2FD858D0"/>
    <w:rsid w:val="30055F99"/>
    <w:rsid w:val="31BB1005"/>
    <w:rsid w:val="32717916"/>
    <w:rsid w:val="32990C1B"/>
    <w:rsid w:val="32AC6BA0"/>
    <w:rsid w:val="331A61FF"/>
    <w:rsid w:val="33F86541"/>
    <w:rsid w:val="34B61F58"/>
    <w:rsid w:val="34E57BE0"/>
    <w:rsid w:val="35357321"/>
    <w:rsid w:val="365437D6"/>
    <w:rsid w:val="37B87D95"/>
    <w:rsid w:val="3A6D30B9"/>
    <w:rsid w:val="3AE01ADD"/>
    <w:rsid w:val="3C812E4B"/>
    <w:rsid w:val="3CEF7EBC"/>
    <w:rsid w:val="3E846C23"/>
    <w:rsid w:val="3F185CE9"/>
    <w:rsid w:val="3F892743"/>
    <w:rsid w:val="40D53766"/>
    <w:rsid w:val="417A02F4"/>
    <w:rsid w:val="425828A0"/>
    <w:rsid w:val="42764AD5"/>
    <w:rsid w:val="42B86E9B"/>
    <w:rsid w:val="44191BBB"/>
    <w:rsid w:val="445175A7"/>
    <w:rsid w:val="45701CAF"/>
    <w:rsid w:val="458A083B"/>
    <w:rsid w:val="462A4554"/>
    <w:rsid w:val="464F7B16"/>
    <w:rsid w:val="46FA5CD4"/>
    <w:rsid w:val="4823125B"/>
    <w:rsid w:val="48A00AFD"/>
    <w:rsid w:val="4A0A21B5"/>
    <w:rsid w:val="4AC96B81"/>
    <w:rsid w:val="4BE24AAB"/>
    <w:rsid w:val="4C800A2A"/>
    <w:rsid w:val="4E6434AC"/>
    <w:rsid w:val="4F8E5D80"/>
    <w:rsid w:val="4FD74E04"/>
    <w:rsid w:val="50106568"/>
    <w:rsid w:val="50417BEC"/>
    <w:rsid w:val="52495D62"/>
    <w:rsid w:val="52B61649"/>
    <w:rsid w:val="54A159E1"/>
    <w:rsid w:val="556233C2"/>
    <w:rsid w:val="55E0078B"/>
    <w:rsid w:val="57571E7E"/>
    <w:rsid w:val="584E40D2"/>
    <w:rsid w:val="598A007F"/>
    <w:rsid w:val="5B126C27"/>
    <w:rsid w:val="5B296730"/>
    <w:rsid w:val="5C1E0247"/>
    <w:rsid w:val="5CCB5CF1"/>
    <w:rsid w:val="5E345B18"/>
    <w:rsid w:val="5E3E5D21"/>
    <w:rsid w:val="5E420235"/>
    <w:rsid w:val="612C6F7A"/>
    <w:rsid w:val="613F38F1"/>
    <w:rsid w:val="61565DA5"/>
    <w:rsid w:val="62A0377C"/>
    <w:rsid w:val="63021D41"/>
    <w:rsid w:val="631D4DCC"/>
    <w:rsid w:val="641C5164"/>
    <w:rsid w:val="64524F4A"/>
    <w:rsid w:val="64B21544"/>
    <w:rsid w:val="65D11E9E"/>
    <w:rsid w:val="65E41BD1"/>
    <w:rsid w:val="664811C3"/>
    <w:rsid w:val="66EF082E"/>
    <w:rsid w:val="67F7151D"/>
    <w:rsid w:val="680227E3"/>
    <w:rsid w:val="68D93CAA"/>
    <w:rsid w:val="68F465CF"/>
    <w:rsid w:val="693710DE"/>
    <w:rsid w:val="693C3AD3"/>
    <w:rsid w:val="6A7F011B"/>
    <w:rsid w:val="6AEE2671"/>
    <w:rsid w:val="6BA52C34"/>
    <w:rsid w:val="6BDA09CA"/>
    <w:rsid w:val="6C7C7008"/>
    <w:rsid w:val="6D841E4C"/>
    <w:rsid w:val="6E7C6D9A"/>
    <w:rsid w:val="6EDC5B3C"/>
    <w:rsid w:val="6FE949B4"/>
    <w:rsid w:val="704F058F"/>
    <w:rsid w:val="708741CD"/>
    <w:rsid w:val="71B40050"/>
    <w:rsid w:val="71EC42E8"/>
    <w:rsid w:val="72F83160"/>
    <w:rsid w:val="736D3206"/>
    <w:rsid w:val="73D74B24"/>
    <w:rsid w:val="741C69DA"/>
    <w:rsid w:val="750202C6"/>
    <w:rsid w:val="75297601"/>
    <w:rsid w:val="752B15CB"/>
    <w:rsid w:val="754C7854"/>
    <w:rsid w:val="756E14B8"/>
    <w:rsid w:val="75C335B1"/>
    <w:rsid w:val="766E5C13"/>
    <w:rsid w:val="76C87C7D"/>
    <w:rsid w:val="76C9109B"/>
    <w:rsid w:val="77B37656"/>
    <w:rsid w:val="77C83101"/>
    <w:rsid w:val="78212811"/>
    <w:rsid w:val="79132AA2"/>
    <w:rsid w:val="79366FC6"/>
    <w:rsid w:val="798E2128"/>
    <w:rsid w:val="799E680F"/>
    <w:rsid w:val="79D253CF"/>
    <w:rsid w:val="7A8A0F43"/>
    <w:rsid w:val="7B3E5CF4"/>
    <w:rsid w:val="7B786BEC"/>
    <w:rsid w:val="7C705188"/>
    <w:rsid w:val="7C943EFA"/>
    <w:rsid w:val="7CF624BE"/>
    <w:rsid w:val="7D3923AB"/>
    <w:rsid w:val="7D641B1E"/>
    <w:rsid w:val="7D7F0706"/>
    <w:rsid w:val="7DB0418B"/>
    <w:rsid w:val="7DDA1E8B"/>
    <w:rsid w:val="7DE71E07"/>
    <w:rsid w:val="7E215319"/>
    <w:rsid w:val="7E53749D"/>
    <w:rsid w:val="7E61605D"/>
    <w:rsid w:val="7E7A711F"/>
    <w:rsid w:val="7ED71E7C"/>
    <w:rsid w:val="7F9B047D"/>
    <w:rsid w:val="7FD1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2395</Words>
  <Characters>2453</Characters>
  <Lines>18</Lines>
  <Paragraphs>5</Paragraphs>
  <TotalTime>15</TotalTime>
  <ScaleCrop>false</ScaleCrop>
  <LinksUpToDate>false</LinksUpToDate>
  <CharactersWithSpaces>2453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2023-08-18T09:02:00Z</dcterms:created>
  <dc:creator>Windows 用户</dc:creator>
  <cp:lastModifiedBy>Administrator</cp:lastModifiedBy>
  <cp:lastPrinted>2023-08-18T09:02:00Z</cp:lastPrinted>
  <dcterms:modified xsi:type="dcterms:W3CDTF">2024-02-07T08:36:10Z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8A5C794202AD44B8931C3495255B738D_13</vt:lpwstr>
  </property>
</Properties>
</file>