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shd w:val="clear" w:fill="FFFFFF"/>
        </w:rPr>
        <w:t>关于延续实施全年一次性奖金个人所得税政策的公告</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为进一步减轻纳税人负担，现将全年一次性奖金个人所得税政策公告如下：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居民个人取得全年一次性奖金，符合《国家税务总局关于调整个人取得全年一次性奖金等计算征收个人所得税方法问题的通知》（国税发〔2005〕9号）规定的，不并入当年综合所得，以全年一次性奖金收入除以12个月得到的数额，按照本公告所附按月换算后的综合所得税率表，确定适用税率和速算扣除数，单独计算纳税。计算公式为：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应纳税额＝全年一次性奖金收入×适用税率－速算扣除数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二、居民个人取得全年一次性奖金，也可以选择并入当年综合所得计算纳税。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三、本公告执行至2027年12月31日。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特此公告。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附件：按月换算后的综合所得税率表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财政部  税务总局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2023年8月18日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附件：按月换算后的综合所得税率表 </w:t>
      </w:r>
    </w:p>
    <w:p>
      <w:pPr>
        <w:pStyle w:val="2"/>
        <w:keepNext w:val="0"/>
        <w:keepLines w:val="0"/>
        <w:widowControl/>
        <w:suppressLineNumbers w:val="0"/>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附件 按月换算后的综合所得税率表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tbl>
      <w:tblPr>
        <w:tblW w:w="3000" w:type="pct"/>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30" w:type="dxa"/>
          <w:left w:w="30" w:type="dxa"/>
          <w:bottom w:w="30" w:type="dxa"/>
          <w:right w:w="30" w:type="dxa"/>
        </w:tblCellMar>
      </w:tblPr>
      <w:tblGrid>
        <w:gridCol w:w="607"/>
        <w:gridCol w:w="2163"/>
        <w:gridCol w:w="985"/>
        <w:gridCol w:w="1238"/>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ind w:left="0" w:right="0"/>
              <w:jc w:val="both"/>
              <w:rPr>
                <w:sz w:val="24"/>
                <w:szCs w:val="24"/>
              </w:rPr>
            </w:pPr>
            <w:r>
              <w:rPr>
                <w:rFonts w:hint="eastAsia" w:ascii="微软雅黑" w:hAnsi="微软雅黑" w:eastAsia="微软雅黑" w:cs="微软雅黑"/>
                <w:i w:val="0"/>
                <w:iCs w:val="0"/>
                <w:caps w:val="0"/>
                <w:color w:val="333333"/>
                <w:spacing w:val="0"/>
                <w:sz w:val="24"/>
                <w:szCs w:val="24"/>
              </w:rPr>
              <w:t>级数 </w:t>
            </w:r>
          </w:p>
        </w:tc>
        <w:tc>
          <w:tcPr>
            <w:tcW w:w="475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ind w:left="0" w:right="0"/>
              <w:jc w:val="both"/>
              <w:rPr>
                <w:sz w:val="24"/>
                <w:szCs w:val="24"/>
              </w:rPr>
            </w:pPr>
            <w:r>
              <w:rPr>
                <w:rFonts w:hint="eastAsia" w:ascii="微软雅黑" w:hAnsi="微软雅黑" w:eastAsia="微软雅黑" w:cs="微软雅黑"/>
                <w:i w:val="0"/>
                <w:iCs w:val="0"/>
                <w:caps w:val="0"/>
                <w:color w:val="333333"/>
                <w:spacing w:val="0"/>
                <w:sz w:val="24"/>
                <w:szCs w:val="24"/>
              </w:rPr>
              <w:t>全月应纳税所得额 </w:t>
            </w:r>
          </w:p>
        </w:tc>
        <w:tc>
          <w:tcPr>
            <w:tcW w:w="13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ind w:left="0" w:right="0"/>
              <w:jc w:val="both"/>
              <w:rPr>
                <w:sz w:val="24"/>
                <w:szCs w:val="24"/>
              </w:rPr>
            </w:pPr>
            <w:r>
              <w:rPr>
                <w:rFonts w:hint="eastAsia" w:ascii="微软雅黑" w:hAnsi="微软雅黑" w:eastAsia="微软雅黑" w:cs="微软雅黑"/>
                <w:i w:val="0"/>
                <w:iCs w:val="0"/>
                <w:caps w:val="0"/>
                <w:color w:val="333333"/>
                <w:spacing w:val="0"/>
                <w:sz w:val="24"/>
                <w:szCs w:val="24"/>
              </w:rPr>
              <w:t>税率（%） </w:t>
            </w:r>
          </w:p>
        </w:tc>
        <w:tc>
          <w:tcPr>
            <w:tcW w:w="204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ind w:left="0" w:right="0"/>
              <w:jc w:val="both"/>
              <w:rPr>
                <w:sz w:val="24"/>
                <w:szCs w:val="24"/>
              </w:rPr>
            </w:pPr>
            <w:r>
              <w:rPr>
                <w:rFonts w:hint="eastAsia" w:ascii="微软雅黑" w:hAnsi="微软雅黑" w:eastAsia="微软雅黑" w:cs="微软雅黑"/>
                <w:i w:val="0"/>
                <w:iCs w:val="0"/>
                <w:caps w:val="0"/>
                <w:color w:val="333333"/>
                <w:spacing w:val="0"/>
                <w:sz w:val="24"/>
                <w:szCs w:val="24"/>
              </w:rPr>
              <w:t>速算扣除数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1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ind w:left="0" w:right="0"/>
              <w:jc w:val="both"/>
              <w:rPr>
                <w:sz w:val="24"/>
                <w:szCs w:val="24"/>
              </w:rPr>
            </w:pPr>
            <w:r>
              <w:rPr>
                <w:rFonts w:hint="eastAsia" w:ascii="微软雅黑" w:hAnsi="微软雅黑" w:eastAsia="微软雅黑" w:cs="微软雅黑"/>
                <w:i w:val="0"/>
                <w:iCs w:val="0"/>
                <w:caps w:val="0"/>
                <w:color w:val="333333"/>
                <w:spacing w:val="0"/>
                <w:sz w:val="24"/>
                <w:szCs w:val="24"/>
              </w:rPr>
              <w:t>1 </w:t>
            </w:r>
          </w:p>
        </w:tc>
        <w:tc>
          <w:tcPr>
            <w:tcW w:w="475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ind w:left="0" w:right="0"/>
              <w:jc w:val="both"/>
              <w:rPr>
                <w:sz w:val="24"/>
                <w:szCs w:val="24"/>
              </w:rPr>
            </w:pPr>
            <w:r>
              <w:rPr>
                <w:rFonts w:hint="eastAsia" w:ascii="微软雅黑" w:hAnsi="微软雅黑" w:eastAsia="微软雅黑" w:cs="微软雅黑"/>
                <w:i w:val="0"/>
                <w:iCs w:val="0"/>
                <w:caps w:val="0"/>
                <w:color w:val="333333"/>
                <w:spacing w:val="0"/>
                <w:sz w:val="24"/>
                <w:szCs w:val="24"/>
              </w:rPr>
              <w:t>不超过3000元的 </w:t>
            </w:r>
          </w:p>
        </w:tc>
        <w:tc>
          <w:tcPr>
            <w:tcW w:w="13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ind w:left="0" w:right="0"/>
              <w:jc w:val="both"/>
              <w:rPr>
                <w:sz w:val="24"/>
                <w:szCs w:val="24"/>
              </w:rPr>
            </w:pPr>
            <w:r>
              <w:rPr>
                <w:rFonts w:hint="eastAsia" w:ascii="微软雅黑" w:hAnsi="微软雅黑" w:eastAsia="微软雅黑" w:cs="微软雅黑"/>
                <w:i w:val="0"/>
                <w:iCs w:val="0"/>
                <w:caps w:val="0"/>
                <w:color w:val="333333"/>
                <w:spacing w:val="0"/>
                <w:sz w:val="24"/>
                <w:szCs w:val="24"/>
              </w:rPr>
              <w:t>3 </w:t>
            </w:r>
          </w:p>
        </w:tc>
        <w:tc>
          <w:tcPr>
            <w:tcW w:w="204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ind w:left="0" w:right="0"/>
              <w:jc w:val="both"/>
              <w:rPr>
                <w:sz w:val="24"/>
                <w:szCs w:val="24"/>
              </w:rPr>
            </w:pPr>
            <w:r>
              <w:rPr>
                <w:rFonts w:hint="eastAsia" w:ascii="微软雅黑" w:hAnsi="微软雅黑" w:eastAsia="微软雅黑" w:cs="微软雅黑"/>
                <w:i w:val="0"/>
                <w:iCs w:val="0"/>
                <w:caps w:val="0"/>
                <w:color w:val="333333"/>
                <w:spacing w:val="0"/>
                <w:sz w:val="24"/>
                <w:szCs w:val="24"/>
              </w:rPr>
              <w:t>0 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1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ind w:left="0" w:right="0"/>
              <w:jc w:val="both"/>
              <w:rPr>
                <w:sz w:val="24"/>
                <w:szCs w:val="24"/>
              </w:rPr>
            </w:pPr>
            <w:r>
              <w:rPr>
                <w:rFonts w:hint="eastAsia" w:ascii="微软雅黑" w:hAnsi="微软雅黑" w:eastAsia="微软雅黑" w:cs="微软雅黑"/>
                <w:i w:val="0"/>
                <w:iCs w:val="0"/>
                <w:caps w:val="0"/>
                <w:color w:val="333333"/>
                <w:spacing w:val="0"/>
                <w:sz w:val="24"/>
                <w:szCs w:val="24"/>
              </w:rPr>
              <w:t>2 </w:t>
            </w:r>
          </w:p>
        </w:tc>
        <w:tc>
          <w:tcPr>
            <w:tcW w:w="475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ind w:left="0" w:right="0"/>
              <w:jc w:val="both"/>
              <w:rPr>
                <w:sz w:val="24"/>
                <w:szCs w:val="24"/>
              </w:rPr>
            </w:pPr>
            <w:r>
              <w:rPr>
                <w:rFonts w:hint="eastAsia" w:ascii="微软雅黑" w:hAnsi="微软雅黑" w:eastAsia="微软雅黑" w:cs="微软雅黑"/>
                <w:i w:val="0"/>
                <w:iCs w:val="0"/>
                <w:caps w:val="0"/>
                <w:color w:val="333333"/>
                <w:spacing w:val="0"/>
                <w:sz w:val="24"/>
                <w:szCs w:val="24"/>
              </w:rPr>
              <w:t>超过3000元至12000元的部分 </w:t>
            </w:r>
          </w:p>
        </w:tc>
        <w:tc>
          <w:tcPr>
            <w:tcW w:w="13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ind w:left="0" w:right="0"/>
              <w:jc w:val="both"/>
              <w:rPr>
                <w:sz w:val="24"/>
                <w:szCs w:val="24"/>
              </w:rPr>
            </w:pPr>
            <w:r>
              <w:rPr>
                <w:rFonts w:hint="eastAsia" w:ascii="微软雅黑" w:hAnsi="微软雅黑" w:eastAsia="微软雅黑" w:cs="微软雅黑"/>
                <w:i w:val="0"/>
                <w:iCs w:val="0"/>
                <w:caps w:val="0"/>
                <w:color w:val="333333"/>
                <w:spacing w:val="0"/>
                <w:sz w:val="24"/>
                <w:szCs w:val="24"/>
              </w:rPr>
              <w:t>10 </w:t>
            </w:r>
          </w:p>
        </w:tc>
        <w:tc>
          <w:tcPr>
            <w:tcW w:w="204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ind w:left="0" w:right="0"/>
              <w:jc w:val="both"/>
              <w:rPr>
                <w:sz w:val="24"/>
                <w:szCs w:val="24"/>
              </w:rPr>
            </w:pPr>
            <w:r>
              <w:rPr>
                <w:rFonts w:hint="eastAsia" w:ascii="微软雅黑" w:hAnsi="微软雅黑" w:eastAsia="微软雅黑" w:cs="微软雅黑"/>
                <w:i w:val="0"/>
                <w:iCs w:val="0"/>
                <w:caps w:val="0"/>
                <w:color w:val="333333"/>
                <w:spacing w:val="0"/>
                <w:sz w:val="24"/>
                <w:szCs w:val="24"/>
              </w:rPr>
              <w:t>210 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1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ind w:left="0" w:right="0"/>
              <w:jc w:val="both"/>
              <w:rPr>
                <w:sz w:val="24"/>
                <w:szCs w:val="24"/>
              </w:rPr>
            </w:pPr>
            <w:r>
              <w:rPr>
                <w:rFonts w:hint="eastAsia" w:ascii="微软雅黑" w:hAnsi="微软雅黑" w:eastAsia="微软雅黑" w:cs="微软雅黑"/>
                <w:i w:val="0"/>
                <w:iCs w:val="0"/>
                <w:caps w:val="0"/>
                <w:color w:val="333333"/>
                <w:spacing w:val="0"/>
                <w:sz w:val="24"/>
                <w:szCs w:val="24"/>
              </w:rPr>
              <w:t>3 </w:t>
            </w:r>
          </w:p>
        </w:tc>
        <w:tc>
          <w:tcPr>
            <w:tcW w:w="475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ind w:left="0" w:right="0"/>
              <w:jc w:val="both"/>
              <w:rPr>
                <w:sz w:val="24"/>
                <w:szCs w:val="24"/>
              </w:rPr>
            </w:pPr>
            <w:r>
              <w:rPr>
                <w:rFonts w:hint="eastAsia" w:ascii="微软雅黑" w:hAnsi="微软雅黑" w:eastAsia="微软雅黑" w:cs="微软雅黑"/>
                <w:i w:val="0"/>
                <w:iCs w:val="0"/>
                <w:caps w:val="0"/>
                <w:color w:val="333333"/>
                <w:spacing w:val="0"/>
                <w:sz w:val="24"/>
                <w:szCs w:val="24"/>
              </w:rPr>
              <w:t>超过12000元至25000元的部分 </w:t>
            </w:r>
          </w:p>
        </w:tc>
        <w:tc>
          <w:tcPr>
            <w:tcW w:w="13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ind w:left="0" w:right="0"/>
              <w:jc w:val="both"/>
              <w:rPr>
                <w:sz w:val="24"/>
                <w:szCs w:val="24"/>
              </w:rPr>
            </w:pPr>
            <w:r>
              <w:rPr>
                <w:rFonts w:hint="eastAsia" w:ascii="微软雅黑" w:hAnsi="微软雅黑" w:eastAsia="微软雅黑" w:cs="微软雅黑"/>
                <w:i w:val="0"/>
                <w:iCs w:val="0"/>
                <w:caps w:val="0"/>
                <w:color w:val="333333"/>
                <w:spacing w:val="0"/>
                <w:sz w:val="24"/>
                <w:szCs w:val="24"/>
              </w:rPr>
              <w:t>20 </w:t>
            </w:r>
          </w:p>
        </w:tc>
        <w:tc>
          <w:tcPr>
            <w:tcW w:w="204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ind w:left="0" w:right="0"/>
              <w:jc w:val="both"/>
              <w:rPr>
                <w:sz w:val="24"/>
                <w:szCs w:val="24"/>
              </w:rPr>
            </w:pPr>
            <w:r>
              <w:rPr>
                <w:rFonts w:hint="eastAsia" w:ascii="微软雅黑" w:hAnsi="微软雅黑" w:eastAsia="微软雅黑" w:cs="微软雅黑"/>
                <w:i w:val="0"/>
                <w:iCs w:val="0"/>
                <w:caps w:val="0"/>
                <w:color w:val="333333"/>
                <w:spacing w:val="0"/>
                <w:sz w:val="24"/>
                <w:szCs w:val="24"/>
              </w:rPr>
              <w:t>1410 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1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ind w:left="0" w:right="0"/>
              <w:jc w:val="both"/>
              <w:rPr>
                <w:sz w:val="24"/>
                <w:szCs w:val="24"/>
              </w:rPr>
            </w:pPr>
            <w:r>
              <w:rPr>
                <w:rFonts w:hint="eastAsia" w:ascii="微软雅黑" w:hAnsi="微软雅黑" w:eastAsia="微软雅黑" w:cs="微软雅黑"/>
                <w:i w:val="0"/>
                <w:iCs w:val="0"/>
                <w:caps w:val="0"/>
                <w:color w:val="333333"/>
                <w:spacing w:val="0"/>
                <w:sz w:val="24"/>
                <w:szCs w:val="24"/>
              </w:rPr>
              <w:t>4 </w:t>
            </w:r>
          </w:p>
        </w:tc>
        <w:tc>
          <w:tcPr>
            <w:tcW w:w="475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ind w:left="0" w:right="0"/>
              <w:jc w:val="both"/>
              <w:rPr>
                <w:sz w:val="24"/>
                <w:szCs w:val="24"/>
              </w:rPr>
            </w:pPr>
            <w:r>
              <w:rPr>
                <w:rFonts w:hint="eastAsia" w:ascii="微软雅黑" w:hAnsi="微软雅黑" w:eastAsia="微软雅黑" w:cs="微软雅黑"/>
                <w:i w:val="0"/>
                <w:iCs w:val="0"/>
                <w:caps w:val="0"/>
                <w:color w:val="333333"/>
                <w:spacing w:val="0"/>
                <w:sz w:val="24"/>
                <w:szCs w:val="24"/>
              </w:rPr>
              <w:t>超过25000元至35000元的部分 </w:t>
            </w:r>
          </w:p>
        </w:tc>
        <w:tc>
          <w:tcPr>
            <w:tcW w:w="13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ind w:left="0" w:right="0"/>
              <w:jc w:val="both"/>
              <w:rPr>
                <w:sz w:val="24"/>
                <w:szCs w:val="24"/>
              </w:rPr>
            </w:pPr>
            <w:r>
              <w:rPr>
                <w:rFonts w:hint="eastAsia" w:ascii="微软雅黑" w:hAnsi="微软雅黑" w:eastAsia="微软雅黑" w:cs="微软雅黑"/>
                <w:i w:val="0"/>
                <w:iCs w:val="0"/>
                <w:caps w:val="0"/>
                <w:color w:val="333333"/>
                <w:spacing w:val="0"/>
                <w:sz w:val="24"/>
                <w:szCs w:val="24"/>
              </w:rPr>
              <w:t>25 </w:t>
            </w:r>
          </w:p>
        </w:tc>
        <w:tc>
          <w:tcPr>
            <w:tcW w:w="204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ind w:left="0" w:right="0"/>
              <w:jc w:val="both"/>
              <w:rPr>
                <w:sz w:val="24"/>
                <w:szCs w:val="24"/>
              </w:rPr>
            </w:pPr>
            <w:r>
              <w:rPr>
                <w:rFonts w:hint="eastAsia" w:ascii="微软雅黑" w:hAnsi="微软雅黑" w:eastAsia="微软雅黑" w:cs="微软雅黑"/>
                <w:i w:val="0"/>
                <w:iCs w:val="0"/>
                <w:caps w:val="0"/>
                <w:color w:val="333333"/>
                <w:spacing w:val="0"/>
                <w:sz w:val="24"/>
                <w:szCs w:val="24"/>
              </w:rPr>
              <w:t>2660 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1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ind w:left="0" w:right="0"/>
              <w:jc w:val="both"/>
              <w:rPr>
                <w:sz w:val="24"/>
                <w:szCs w:val="24"/>
              </w:rPr>
            </w:pPr>
            <w:r>
              <w:rPr>
                <w:rFonts w:hint="eastAsia" w:ascii="微软雅黑" w:hAnsi="微软雅黑" w:eastAsia="微软雅黑" w:cs="微软雅黑"/>
                <w:i w:val="0"/>
                <w:iCs w:val="0"/>
                <w:caps w:val="0"/>
                <w:color w:val="333333"/>
                <w:spacing w:val="0"/>
                <w:sz w:val="24"/>
                <w:szCs w:val="24"/>
              </w:rPr>
              <w:t>5 </w:t>
            </w:r>
          </w:p>
        </w:tc>
        <w:tc>
          <w:tcPr>
            <w:tcW w:w="475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ind w:left="0" w:right="0"/>
              <w:jc w:val="both"/>
              <w:rPr>
                <w:sz w:val="24"/>
                <w:szCs w:val="24"/>
              </w:rPr>
            </w:pPr>
            <w:r>
              <w:rPr>
                <w:rFonts w:hint="eastAsia" w:ascii="微软雅黑" w:hAnsi="微软雅黑" w:eastAsia="微软雅黑" w:cs="微软雅黑"/>
                <w:i w:val="0"/>
                <w:iCs w:val="0"/>
                <w:caps w:val="0"/>
                <w:color w:val="333333"/>
                <w:spacing w:val="0"/>
                <w:sz w:val="24"/>
                <w:szCs w:val="24"/>
              </w:rPr>
              <w:t>超过35000元至55000元的部分 </w:t>
            </w:r>
          </w:p>
        </w:tc>
        <w:tc>
          <w:tcPr>
            <w:tcW w:w="13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ind w:left="0" w:right="0"/>
              <w:jc w:val="both"/>
              <w:rPr>
                <w:sz w:val="24"/>
                <w:szCs w:val="24"/>
              </w:rPr>
            </w:pPr>
            <w:r>
              <w:rPr>
                <w:rFonts w:hint="eastAsia" w:ascii="微软雅黑" w:hAnsi="微软雅黑" w:eastAsia="微软雅黑" w:cs="微软雅黑"/>
                <w:i w:val="0"/>
                <w:iCs w:val="0"/>
                <w:caps w:val="0"/>
                <w:color w:val="333333"/>
                <w:spacing w:val="0"/>
                <w:sz w:val="24"/>
                <w:szCs w:val="24"/>
              </w:rPr>
              <w:t>30 </w:t>
            </w:r>
          </w:p>
        </w:tc>
        <w:tc>
          <w:tcPr>
            <w:tcW w:w="204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ind w:left="0" w:right="0"/>
              <w:jc w:val="both"/>
              <w:rPr>
                <w:sz w:val="24"/>
                <w:szCs w:val="24"/>
              </w:rPr>
            </w:pPr>
            <w:r>
              <w:rPr>
                <w:rFonts w:hint="eastAsia" w:ascii="微软雅黑" w:hAnsi="微软雅黑" w:eastAsia="微软雅黑" w:cs="微软雅黑"/>
                <w:i w:val="0"/>
                <w:iCs w:val="0"/>
                <w:caps w:val="0"/>
                <w:color w:val="333333"/>
                <w:spacing w:val="0"/>
                <w:sz w:val="24"/>
                <w:szCs w:val="24"/>
              </w:rPr>
              <w:t>4410 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1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ind w:left="0" w:right="0"/>
              <w:jc w:val="both"/>
              <w:rPr>
                <w:sz w:val="24"/>
                <w:szCs w:val="24"/>
              </w:rPr>
            </w:pPr>
            <w:r>
              <w:rPr>
                <w:rFonts w:hint="eastAsia" w:ascii="微软雅黑" w:hAnsi="微软雅黑" w:eastAsia="微软雅黑" w:cs="微软雅黑"/>
                <w:i w:val="0"/>
                <w:iCs w:val="0"/>
                <w:caps w:val="0"/>
                <w:color w:val="333333"/>
                <w:spacing w:val="0"/>
                <w:sz w:val="24"/>
                <w:szCs w:val="24"/>
              </w:rPr>
              <w:t>6 </w:t>
            </w:r>
          </w:p>
        </w:tc>
        <w:tc>
          <w:tcPr>
            <w:tcW w:w="475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ind w:left="0" w:right="0"/>
              <w:jc w:val="both"/>
              <w:rPr>
                <w:sz w:val="24"/>
                <w:szCs w:val="24"/>
              </w:rPr>
            </w:pPr>
            <w:r>
              <w:rPr>
                <w:rFonts w:hint="eastAsia" w:ascii="微软雅黑" w:hAnsi="微软雅黑" w:eastAsia="微软雅黑" w:cs="微软雅黑"/>
                <w:i w:val="0"/>
                <w:iCs w:val="0"/>
                <w:caps w:val="0"/>
                <w:color w:val="333333"/>
                <w:spacing w:val="0"/>
                <w:sz w:val="24"/>
                <w:szCs w:val="24"/>
              </w:rPr>
              <w:t>超过55000元至80000元的部分 </w:t>
            </w:r>
          </w:p>
        </w:tc>
        <w:tc>
          <w:tcPr>
            <w:tcW w:w="13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ind w:left="0" w:right="0"/>
              <w:jc w:val="both"/>
              <w:rPr>
                <w:sz w:val="24"/>
                <w:szCs w:val="24"/>
              </w:rPr>
            </w:pPr>
            <w:r>
              <w:rPr>
                <w:rFonts w:hint="eastAsia" w:ascii="微软雅黑" w:hAnsi="微软雅黑" w:eastAsia="微软雅黑" w:cs="微软雅黑"/>
                <w:i w:val="0"/>
                <w:iCs w:val="0"/>
                <w:caps w:val="0"/>
                <w:color w:val="333333"/>
                <w:spacing w:val="0"/>
                <w:sz w:val="24"/>
                <w:szCs w:val="24"/>
              </w:rPr>
              <w:t>35 </w:t>
            </w:r>
          </w:p>
        </w:tc>
        <w:tc>
          <w:tcPr>
            <w:tcW w:w="204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ind w:left="0" w:right="0"/>
              <w:jc w:val="both"/>
              <w:rPr>
                <w:sz w:val="24"/>
                <w:szCs w:val="24"/>
              </w:rPr>
            </w:pPr>
            <w:r>
              <w:rPr>
                <w:rFonts w:hint="eastAsia" w:ascii="微软雅黑" w:hAnsi="微软雅黑" w:eastAsia="微软雅黑" w:cs="微软雅黑"/>
                <w:i w:val="0"/>
                <w:iCs w:val="0"/>
                <w:caps w:val="0"/>
                <w:color w:val="333333"/>
                <w:spacing w:val="0"/>
                <w:sz w:val="24"/>
                <w:szCs w:val="24"/>
              </w:rPr>
              <w:t>7160 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1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ind w:left="0" w:right="0"/>
              <w:jc w:val="both"/>
              <w:rPr>
                <w:sz w:val="24"/>
                <w:szCs w:val="24"/>
              </w:rPr>
            </w:pPr>
            <w:r>
              <w:rPr>
                <w:rFonts w:hint="eastAsia" w:ascii="微软雅黑" w:hAnsi="微软雅黑" w:eastAsia="微软雅黑" w:cs="微软雅黑"/>
                <w:i w:val="0"/>
                <w:iCs w:val="0"/>
                <w:caps w:val="0"/>
                <w:color w:val="333333"/>
                <w:spacing w:val="0"/>
                <w:sz w:val="24"/>
                <w:szCs w:val="24"/>
              </w:rPr>
              <w:t>7 </w:t>
            </w:r>
          </w:p>
        </w:tc>
        <w:tc>
          <w:tcPr>
            <w:tcW w:w="475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ind w:left="0" w:right="0"/>
              <w:jc w:val="both"/>
              <w:rPr>
                <w:sz w:val="24"/>
                <w:szCs w:val="24"/>
              </w:rPr>
            </w:pPr>
            <w:r>
              <w:rPr>
                <w:rFonts w:hint="eastAsia" w:ascii="微软雅黑" w:hAnsi="微软雅黑" w:eastAsia="微软雅黑" w:cs="微软雅黑"/>
                <w:i w:val="0"/>
                <w:iCs w:val="0"/>
                <w:caps w:val="0"/>
                <w:color w:val="333333"/>
                <w:spacing w:val="0"/>
                <w:sz w:val="24"/>
                <w:szCs w:val="24"/>
              </w:rPr>
              <w:t>超过80000元的部分 </w:t>
            </w:r>
          </w:p>
        </w:tc>
        <w:tc>
          <w:tcPr>
            <w:tcW w:w="13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ind w:left="0" w:right="0"/>
              <w:jc w:val="both"/>
              <w:rPr>
                <w:sz w:val="24"/>
                <w:szCs w:val="24"/>
              </w:rPr>
            </w:pPr>
            <w:r>
              <w:rPr>
                <w:rFonts w:hint="eastAsia" w:ascii="微软雅黑" w:hAnsi="微软雅黑" w:eastAsia="微软雅黑" w:cs="微软雅黑"/>
                <w:i w:val="0"/>
                <w:iCs w:val="0"/>
                <w:caps w:val="0"/>
                <w:color w:val="333333"/>
                <w:spacing w:val="0"/>
                <w:sz w:val="24"/>
                <w:szCs w:val="24"/>
              </w:rPr>
              <w:t>45 </w:t>
            </w:r>
          </w:p>
        </w:tc>
        <w:tc>
          <w:tcPr>
            <w:tcW w:w="204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ind w:left="0" w:right="0"/>
              <w:jc w:val="both"/>
              <w:rPr>
                <w:sz w:val="24"/>
                <w:szCs w:val="24"/>
              </w:rPr>
            </w:pPr>
            <w:r>
              <w:rPr>
                <w:rFonts w:hint="eastAsia" w:ascii="微软雅黑" w:hAnsi="微软雅黑" w:eastAsia="微软雅黑" w:cs="微软雅黑"/>
                <w:i w:val="0"/>
                <w:iCs w:val="0"/>
                <w:caps w:val="0"/>
                <w:color w:val="333333"/>
                <w:spacing w:val="0"/>
                <w:sz w:val="24"/>
                <w:szCs w:val="24"/>
              </w:rPr>
              <w:t>15160 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WRlYjk5OTY2NWFmM2U1ZTA0MzhjMWY5NzljNGEifQ=="/>
  </w:docVars>
  <w:rsids>
    <w:rsidRoot w:val="418414C4"/>
    <w:rsid w:val="391E59D1"/>
    <w:rsid w:val="418414C4"/>
    <w:rsid w:val="49147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hint="default" w:ascii="仿宋" w:hAnsi="仿宋" w:eastAsia="仿宋" w:cs="Times New Roman"/>
      <w:kern w:val="2"/>
      <w:sz w:val="32"/>
      <w:szCs w:val="2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2023-10-25T02:47:00Z</dcterms:created>
  <dc:creator>Administrator</dc:creator>
  <cp:lastModifiedBy>Administrator</cp:lastModifiedBy>
  <dcterms:modified xsi:type="dcterms:W3CDTF">2023-10-25T02:47:41Z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0412F19EE3254E72BDBF06D8C80AA4A1_11</vt:lpwstr>
  </property>
</Properties>
</file>